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media/image7.jpeg" ContentType="image/jpeg"/>
  <Override PartName="/word/media/image8.jpeg" ContentType="image/jpeg"/>
  <Override PartName="/word/media/image9.jpeg" ContentType="image/jpeg"/>
  <Override PartName="/word/media/image10.jpeg" ContentType="image/jpeg"/>
  <Override PartName="/word/media/image11.jpeg" ContentType="image/jpeg"/>
  <Override PartName="/word/media/image12.jpeg" ContentType="image/jpeg"/>
  <Override PartName="/word/media/image13.jpeg" ContentType="image/jpeg"/>
  <Override PartName="/word/media/image14.jpeg" ContentType="image/jpeg"/>
  <Override PartName="/word/media/image15.jpeg" ContentType="image/jpeg"/>
  <Override PartName="/word/media/image16.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media/image17.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192" w:lineRule="auto"/>
        <w:jc w:val="left"/>
      </w:pPr>
      <w:r>
        <w:rPr>
          <w:outline w:val="0"/>
          <w:color w:val="1f6b75"/>
          <w:sz w:val="72"/>
          <w:szCs w:val="72"/>
          <w:u w:color="1f6b75"/>
          <w:rtl w:val="0"/>
          <w:lang w:val="en-US"/>
          <w14:textFill>
            <w14:solidFill>
              <w14:srgbClr w14:val="1F6B75"/>
            </w14:solidFill>
          </w14:textFill>
        </w:rPr>
        <w:t>SCALLOWAY</w:t>
      </w:r>
    </w:p>
    <w:p>
      <w:pPr>
        <w:pStyle w:val="Subtit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4" w:lineRule="auto"/>
      </w:pPr>
      <w:r>
        <w:rPr>
          <w:rtl w:val="0"/>
          <w:lang w:val="en-US"/>
        </w:rPr>
        <w:t>Local Place Plan</w:t>
      </w:r>
    </w:p>
    <w:p>
      <w:pPr>
        <w:pStyle w:val="Body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60"/>
        </w:tabs>
      </w:pPr>
      <w:r>
        <w:rPr>
          <w:rFonts w:ascii="Arial" w:hAnsi="Arial"/>
          <w:outline w:val="0"/>
          <w:color w:val="444444"/>
          <w:sz w:val="28"/>
          <w:szCs w:val="28"/>
          <w:u w:color="444444"/>
          <w:rtl w:val="0"/>
          <w:lang w:val="de-DE"/>
          <w14:textFill>
            <w14:solidFill>
              <w14:srgbClr w14:val="444444"/>
            </w14:solidFill>
          </w14:textFill>
        </w:rPr>
        <w:t>Version 2 / 202</w:t>
      </w:r>
      <w:r>
        <w:rPr>
          <w:rFonts w:ascii="Arial" w:hAnsi="Arial"/>
          <w:outline w:val="0"/>
          <w:color w:val="444444"/>
          <w:sz w:val="28"/>
          <w:szCs w:val="28"/>
          <w:u w:color="444444"/>
          <w:rtl w:val="0"/>
          <w:lang w:val="en-US"/>
          <w14:textFill>
            <w14:solidFill>
              <w14:srgbClr w14:val="444444"/>
            </w14:solidFill>
          </w14:textFill>
        </w:rPr>
        <w:t>6</w:t>
      </w:r>
    </w:p>
    <w:p>
      <w:pPr>
        <w:pStyle w:val="Body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60"/>
        </w:tabs>
      </w:pPr>
    </w:p>
    <w:p>
      <w:pPr>
        <w:pStyle w:val="Body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60"/>
        </w:tabs>
      </w:pPr>
      <w:r>
        <w:rPr>
          <w:rFonts w:ascii="Arial" w:hAnsi="Arial"/>
          <w:i w:val="1"/>
          <w:iCs w:val="1"/>
          <w:outline w:val="0"/>
          <w:color w:val="444444"/>
          <w:u w:color="444444"/>
          <w:rtl w:val="0"/>
          <w:lang w:val="en-US"/>
          <w14:textFill>
            <w14:solidFill>
              <w14:srgbClr w14:val="444444"/>
            </w14:solidFill>
          </w14:textFill>
        </w:rPr>
        <w:t>Prepared by Scalloway Community Council</w:t>
      </w:r>
    </w:p>
    <w:p>
      <w:pPr>
        <w:pStyle w:val="Body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60"/>
        </w:tabs>
        <w:rPr>
          <w:rFonts w:ascii="Arial" w:cs="Arial" w:hAnsi="Arial" w:eastAsia="Arial"/>
          <w:i w:val="1"/>
          <w:iCs w:val="1"/>
          <w:outline w:val="0"/>
          <w:color w:val="444444"/>
          <w:u w:color="444444"/>
          <w14:textFill>
            <w14:solidFill>
              <w14:srgbClr w14:val="444444"/>
            </w14:solidFill>
          </w14:textFill>
        </w:rPr>
      </w:pPr>
      <w:r>
        <w:rPr>
          <w:rFonts w:ascii="Arial" w:hAnsi="Arial"/>
          <w:i w:val="1"/>
          <w:iCs w:val="1"/>
          <w:outline w:val="0"/>
          <w:color w:val="444444"/>
          <w:u w:color="444444"/>
          <w:rtl w:val="0"/>
          <w:lang w:val="en-US"/>
          <w14:textFill>
            <w14:solidFill>
              <w14:srgbClr w14:val="444444"/>
            </w14:solidFill>
          </w14:textFill>
        </w:rPr>
        <w:t>in partnership with</w:t>
      </w:r>
      <w:r>
        <w:rPr>
          <w:rFonts w:ascii="Arial" w:hAnsi="Arial"/>
          <w:i w:val="1"/>
          <w:iCs w:val="1"/>
          <w:outline w:val="0"/>
          <w:color w:val="444444"/>
          <w:u w:color="444444"/>
          <w:rtl w:val="0"/>
          <w:lang w:val="en-US"/>
          <w14:textFill>
            <w14:solidFill>
              <w14:srgbClr w14:val="444444"/>
            </w14:solidFill>
          </w14:textFill>
        </w:rPr>
        <w:t>:</w:t>
      </w:r>
    </w:p>
    <w:p>
      <w:pPr>
        <w:pStyle w:val="Body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60"/>
        </w:tabs>
        <w:rPr>
          <w:rFonts w:ascii="Arial" w:cs="Arial" w:hAnsi="Arial" w:eastAsia="Arial"/>
          <w:i w:val="1"/>
          <w:iCs w:val="1"/>
          <w:outline w:val="0"/>
          <w:color w:val="444444"/>
          <w:u w:color="444444"/>
          <w14:textFill>
            <w14:solidFill>
              <w14:srgbClr w14:val="444444"/>
            </w14:solidFill>
          </w14:textFill>
        </w:rPr>
      </w:pPr>
      <w:r>
        <w:rPr>
          <w:rFonts w:ascii="Arial" w:hAnsi="Arial"/>
          <w:i w:val="1"/>
          <w:iCs w:val="1"/>
          <w:outline w:val="0"/>
          <w:color w:val="444444"/>
          <w:u w:color="444444"/>
          <w:rtl w:val="0"/>
          <w:lang w:val="en-US"/>
          <w14:textFill>
            <w14:solidFill>
              <w14:srgbClr w14:val="444444"/>
            </w14:solidFill>
          </w14:textFill>
        </w:rPr>
        <w:t>Scalloway Community Development Company</w:t>
      </w:r>
    </w:p>
    <w:p>
      <w:pPr>
        <w:pStyle w:val="Body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60"/>
        </w:tabs>
      </w:pPr>
      <w:r>
        <w:rPr>
          <w:rFonts w:ascii="Arial" w:hAnsi="Arial"/>
          <w:i w:val="1"/>
          <w:iCs w:val="1"/>
          <w:outline w:val="0"/>
          <w:color w:val="444444"/>
          <w:u w:color="444444"/>
          <w:rtl w:val="0"/>
          <w:lang w:val="en-US"/>
          <w14:textFill>
            <w14:solidFill>
              <w14:srgbClr w14:val="444444"/>
            </w14:solidFill>
          </w14:textFill>
        </w:rPr>
        <w:t>Shetland Islands Council</w:t>
      </w:r>
    </w:p>
    <w:p>
      <w:pPr>
        <w:pStyle w:val="Body A"/>
      </w:pPr>
      <w:r>
        <w:drawing xmlns:a="http://schemas.openxmlformats.org/drawingml/2006/main">
          <wp:anchor distT="0" distB="0" distL="0" distR="0" simplePos="0" relativeHeight="251659264" behindDoc="0" locked="0" layoutInCell="1" allowOverlap="1">
            <wp:simplePos x="0" y="0"/>
            <wp:positionH relativeFrom="page">
              <wp:posOffset>1551994</wp:posOffset>
            </wp:positionH>
            <wp:positionV relativeFrom="line">
              <wp:posOffset>199957</wp:posOffset>
            </wp:positionV>
            <wp:extent cx="4391549" cy="2912243"/>
            <wp:effectExtent l="0" t="0" r="0" b="0"/>
            <wp:wrapTopAndBottom distT="0" distB="0"/>
            <wp:docPr id="1073741828" name="officeArt object" descr="page1image140016.jpg"/>
            <wp:cNvGraphicFramePr/>
            <a:graphic xmlns:a="http://schemas.openxmlformats.org/drawingml/2006/main">
              <a:graphicData uri="http://schemas.openxmlformats.org/drawingml/2006/picture">
                <pic:pic xmlns:pic="http://schemas.openxmlformats.org/drawingml/2006/picture">
                  <pic:nvPicPr>
                    <pic:cNvPr id="1073741828" name="page1image140016.jpg" descr="page1image140016.jpg"/>
                    <pic:cNvPicPr>
                      <a:picLocks noChangeAspect="1"/>
                    </pic:cNvPicPr>
                  </pic:nvPicPr>
                  <pic:blipFill>
                    <a:blip r:embed="rId4">
                      <a:extLst/>
                    </a:blip>
                    <a:stretch>
                      <a:fillRect/>
                    </a:stretch>
                  </pic:blipFill>
                  <pic:spPr>
                    <a:xfrm>
                      <a:off x="0" y="0"/>
                      <a:ext cx="4391549" cy="2912243"/>
                    </a:xfrm>
                    <a:prstGeom prst="rect">
                      <a:avLst/>
                    </a:prstGeom>
                    <a:ln w="12700" cap="flat">
                      <a:noFill/>
                      <a:miter lim="400000"/>
                    </a:ln>
                    <a:effectLst/>
                  </pic:spPr>
                </pic:pic>
              </a:graphicData>
            </a:graphic>
          </wp:anchor>
        </w:drawing>
      </w:r>
      <w:r>
        <w:drawing xmlns:a="http://schemas.openxmlformats.org/drawingml/2006/main">
          <wp:anchor distT="0" distB="0" distL="0" distR="0" simplePos="0" relativeHeight="251660288" behindDoc="0" locked="0" layoutInCell="1" allowOverlap="1">
            <wp:simplePos x="0" y="0"/>
            <wp:positionH relativeFrom="page">
              <wp:posOffset>1551995</wp:posOffset>
            </wp:positionH>
            <wp:positionV relativeFrom="line">
              <wp:posOffset>3540083</wp:posOffset>
            </wp:positionV>
            <wp:extent cx="4327912" cy="2886794"/>
            <wp:effectExtent l="0" t="0" r="0" b="0"/>
            <wp:wrapTopAndBottom distT="0" distB="0"/>
            <wp:docPr id="1073741829" name="officeArt object" descr="page1image146256.jpg"/>
            <wp:cNvGraphicFramePr/>
            <a:graphic xmlns:a="http://schemas.openxmlformats.org/drawingml/2006/main">
              <a:graphicData uri="http://schemas.openxmlformats.org/drawingml/2006/picture">
                <pic:pic xmlns:pic="http://schemas.openxmlformats.org/drawingml/2006/picture">
                  <pic:nvPicPr>
                    <pic:cNvPr id="1073741829" name="page1image146256.jpg" descr="page1image146256.jpg"/>
                    <pic:cNvPicPr>
                      <a:picLocks noChangeAspect="1"/>
                    </pic:cNvPicPr>
                  </pic:nvPicPr>
                  <pic:blipFill>
                    <a:blip r:embed="rId5">
                      <a:extLst/>
                    </a:blip>
                    <a:stretch>
                      <a:fillRect/>
                    </a:stretch>
                  </pic:blipFill>
                  <pic:spPr>
                    <a:xfrm>
                      <a:off x="0" y="0"/>
                      <a:ext cx="4327912" cy="2886794"/>
                    </a:xfrm>
                    <a:prstGeom prst="rect">
                      <a:avLst/>
                    </a:prstGeom>
                    <a:ln w="12700" cap="flat">
                      <a:noFill/>
                      <a:miter lim="400000"/>
                    </a:ln>
                    <a:effectLst/>
                  </pic:spPr>
                </pic:pic>
              </a:graphicData>
            </a:graphic>
          </wp:anchor>
        </w:drawing>
      </w:r>
      <w:r>
        <w:rPr>
          <w:rFonts w:ascii="Arial Unicode MS" w:cs="Arial Unicode MS" w:hAnsi="Arial Unicode MS" w:eastAsia="Arial Unicode MS"/>
          <w:b w:val="0"/>
          <w:bCs w:val="0"/>
          <w:i w:val="0"/>
          <w:iCs w:val="0"/>
        </w:rPr>
        <w:br w:type="page"/>
      </w:r>
    </w:p>
    <w:p>
      <w:pPr>
        <w:pStyle w:val="Heading"/>
      </w:pPr>
      <w:r>
        <w:rPr>
          <w:rtl w:val="0"/>
        </w:rPr>
        <w:t>Contents</w:t>
      </w:r>
    </w:p>
    <w:p>
      <w:pPr>
        <w:pStyle w:val="Cap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504" w:lineRule="auto"/>
        <w:rPr>
          <w:b w:val="0"/>
          <w:bCs w:val="0"/>
        </w:rPr>
      </w:pPr>
      <w:r>
        <w:rPr>
          <w:b w:val="0"/>
          <w:bCs w:val="0"/>
          <w:sz w:val="22"/>
          <w:szCs w:val="22"/>
          <w:u w:color="000000"/>
          <w:rtl w:val="0"/>
          <w:lang w:val="de-DE"/>
        </w:rPr>
        <w:t>1.  Foreword</w:t>
      </w:r>
    </w:p>
    <w:p>
      <w:pPr>
        <w:pStyle w:val="Cap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504" w:lineRule="auto"/>
        <w:rPr>
          <w:b w:val="0"/>
          <w:bCs w:val="0"/>
        </w:rPr>
      </w:pPr>
      <w:r>
        <w:rPr>
          <w:b w:val="0"/>
          <w:bCs w:val="0"/>
          <w:sz w:val="22"/>
          <w:szCs w:val="22"/>
          <w:u w:color="000000"/>
          <w:rtl w:val="0"/>
          <w:lang w:val="en-US"/>
        </w:rPr>
        <w:t>2.  Executive Summary</w:t>
      </w:r>
    </w:p>
    <w:p>
      <w:pPr>
        <w:pStyle w:val="Cap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504" w:lineRule="auto"/>
        <w:rPr>
          <w:b w:val="0"/>
          <w:bCs w:val="0"/>
        </w:rPr>
      </w:pPr>
      <w:r>
        <w:rPr>
          <w:b w:val="0"/>
          <w:bCs w:val="0"/>
          <w:sz w:val="22"/>
          <w:szCs w:val="22"/>
          <w:u w:color="000000"/>
          <w:rtl w:val="0"/>
          <w:lang w:val="en-US"/>
        </w:rPr>
        <w:t>3.  Introduction, Vision, Objectives and Community Profile</w:t>
      </w:r>
    </w:p>
    <w:p>
      <w:pPr>
        <w:pStyle w:val="Cap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504" w:lineRule="auto"/>
        <w:rPr>
          <w:b w:val="0"/>
          <w:bCs w:val="0"/>
        </w:rPr>
      </w:pPr>
      <w:r>
        <w:rPr>
          <w:b w:val="0"/>
          <w:bCs w:val="0"/>
          <w:sz w:val="22"/>
          <w:szCs w:val="22"/>
          <w:u w:color="000000"/>
          <w:rtl w:val="0"/>
          <w:lang w:val="en-US"/>
        </w:rPr>
        <w:t>4.  The Role of Scalloway Community Council</w:t>
      </w:r>
    </w:p>
    <w:p>
      <w:pPr>
        <w:pStyle w:val="Cap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504" w:lineRule="auto"/>
        <w:rPr>
          <w:b w:val="0"/>
          <w:bCs w:val="0"/>
        </w:rPr>
      </w:pPr>
      <w:r>
        <w:rPr>
          <w:b w:val="0"/>
          <w:bCs w:val="0"/>
          <w:sz w:val="22"/>
          <w:szCs w:val="22"/>
          <w:u w:color="000000"/>
          <w:rtl w:val="0"/>
          <w:lang w:val="en-US"/>
        </w:rPr>
        <w:t>5.  The Background to Re-Create Scalloway</w:t>
      </w:r>
    </w:p>
    <w:p>
      <w:pPr>
        <w:pStyle w:val="Cap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504" w:lineRule="auto"/>
        <w:rPr>
          <w:b w:val="0"/>
          <w:bCs w:val="0"/>
        </w:rPr>
      </w:pPr>
      <w:r>
        <w:rPr>
          <w:b w:val="0"/>
          <w:bCs w:val="0"/>
          <w:sz w:val="22"/>
          <w:szCs w:val="22"/>
          <w:u w:color="000000"/>
          <w:rtl w:val="0"/>
          <w:lang w:val="en-US"/>
        </w:rPr>
        <w:t>6.  Scalloway Today</w:t>
      </w:r>
    </w:p>
    <w:p>
      <w:pPr>
        <w:pStyle w:val="Cap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504" w:lineRule="auto"/>
        <w:rPr>
          <w:b w:val="0"/>
          <w:bCs w:val="0"/>
        </w:rPr>
      </w:pPr>
      <w:r>
        <w:rPr>
          <w:b w:val="0"/>
          <w:bCs w:val="0"/>
          <w:sz w:val="22"/>
          <w:szCs w:val="22"/>
          <w:u w:color="000000"/>
          <w:rtl w:val="0"/>
          <w:lang w:val="en-US"/>
        </w:rPr>
        <w:t>7.  Summary of the Public Consultation Events</w:t>
      </w:r>
    </w:p>
    <w:p>
      <w:pPr>
        <w:pStyle w:val="Cap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504" w:lineRule="auto"/>
        <w:rPr>
          <w:b w:val="0"/>
          <w:bCs w:val="0"/>
        </w:rPr>
      </w:pPr>
      <w:r>
        <w:rPr>
          <w:b w:val="0"/>
          <w:bCs w:val="0"/>
          <w:sz w:val="22"/>
          <w:szCs w:val="22"/>
          <w:u w:color="000000"/>
          <w:rtl w:val="0"/>
          <w:lang w:val="en-US"/>
        </w:rPr>
        <w:t>8.  Our Priorities for Action</w:t>
      </w:r>
    </w:p>
    <w:p>
      <w:pPr>
        <w:pStyle w:val="Cap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504" w:lineRule="auto"/>
        <w:rPr>
          <w:b w:val="0"/>
          <w:bCs w:val="0"/>
        </w:rPr>
      </w:pPr>
      <w:r>
        <w:rPr>
          <w:b w:val="0"/>
          <w:bCs w:val="0"/>
          <w:sz w:val="22"/>
          <w:szCs w:val="22"/>
          <w:u w:color="000000"/>
          <w:rtl w:val="0"/>
          <w:lang w:val="en-US"/>
        </w:rPr>
        <w:t>9.  Proposals for the Development, Use and Conservation of Land and Buildings</w:t>
      </w:r>
    </w:p>
    <w:p>
      <w:pPr>
        <w:pStyle w:val="Cap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504" w:lineRule="auto"/>
        <w:rPr>
          <w:b w:val="0"/>
          <w:bCs w:val="0"/>
        </w:rPr>
      </w:pPr>
      <w:r>
        <w:rPr>
          <w:b w:val="0"/>
          <w:bCs w:val="0"/>
          <w:sz w:val="22"/>
          <w:szCs w:val="22"/>
          <w:u w:color="000000"/>
          <w:rtl w:val="0"/>
          <w:lang w:val="en-US"/>
        </w:rPr>
        <w:t>10. Proposals for Planning Policy</w:t>
      </w:r>
    </w:p>
    <w:p>
      <w:pPr>
        <w:pStyle w:val="Cap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504" w:lineRule="auto"/>
        <w:rPr>
          <w:b w:val="0"/>
          <w:bCs w:val="0"/>
        </w:rPr>
      </w:pPr>
      <w:r>
        <w:rPr>
          <w:b w:val="0"/>
          <w:bCs w:val="0"/>
          <w:sz w:val="22"/>
          <w:szCs w:val="22"/>
          <w:u w:color="000000"/>
          <w:rtl w:val="0"/>
          <w:lang w:val="en-US"/>
        </w:rPr>
        <w:t>11. Evidence of Statutory Regard</w:t>
      </w:r>
    </w:p>
    <w:p>
      <w:pPr>
        <w:pStyle w:val="Cap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504" w:lineRule="auto"/>
        <w:rPr>
          <w:b w:val="0"/>
          <w:bCs w:val="0"/>
        </w:rPr>
      </w:pPr>
      <w:r>
        <w:rPr>
          <w:b w:val="0"/>
          <w:bCs w:val="0"/>
          <w:sz w:val="22"/>
          <w:szCs w:val="22"/>
          <w:u w:color="000000"/>
          <w:rtl w:val="0"/>
          <w:lang w:val="en-US"/>
        </w:rPr>
        <w:t>12. Statement Regarding the Level of Community Support</w:t>
      </w:r>
    </w:p>
    <w:p>
      <w:pPr>
        <w:pStyle w:val="Cap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504" w:lineRule="auto"/>
        <w:rPr>
          <w:b w:val="0"/>
          <w:bCs w:val="0"/>
        </w:rPr>
      </w:pPr>
      <w:r>
        <w:rPr>
          <w:b w:val="0"/>
          <w:bCs w:val="0"/>
          <w:sz w:val="22"/>
          <w:szCs w:val="22"/>
          <w:u w:color="000000"/>
          <w:rtl w:val="0"/>
          <w:lang w:val="en-US"/>
        </w:rPr>
        <w:t>13. Voluntary Statement on Statutory Impact Assessments</w:t>
      </w:r>
    </w:p>
    <w:p>
      <w:pPr>
        <w:pStyle w:val="Cap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504" w:lineRule="auto"/>
        <w:rPr>
          <w:b w:val="0"/>
          <w:bCs w:val="0"/>
        </w:rPr>
      </w:pPr>
      <w:r>
        <w:rPr>
          <w:b w:val="0"/>
          <w:bCs w:val="0"/>
          <w:sz w:val="22"/>
          <w:szCs w:val="22"/>
          <w:u w:color="000000"/>
          <w:rtl w:val="0"/>
          <w:lang w:val="en-US"/>
        </w:rPr>
        <w:t>14. Strategic Environmental Assessment Considerations</w:t>
      </w:r>
    </w:p>
    <w:p>
      <w:pPr>
        <w:pStyle w:val="Cap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504" w:lineRule="auto"/>
        <w:rPr>
          <w:b w:val="0"/>
          <w:bCs w:val="0"/>
        </w:rPr>
      </w:pPr>
      <w:r>
        <w:rPr>
          <w:b w:val="0"/>
          <w:bCs w:val="0"/>
          <w:sz w:val="22"/>
          <w:szCs w:val="22"/>
          <w:u w:color="000000"/>
          <w:rtl w:val="0"/>
          <w:lang w:val="en-US"/>
        </w:rPr>
        <w:t>15. Bringing the Local Place Plan Together</w:t>
      </w:r>
    </w:p>
    <w:p>
      <w:pPr>
        <w:pStyle w:val="Cap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504" w:lineRule="auto"/>
        <w:rPr>
          <w:b w:val="0"/>
          <w:bCs w:val="0"/>
        </w:rPr>
      </w:pPr>
      <w:r>
        <w:rPr>
          <w:b w:val="0"/>
          <w:bCs w:val="0"/>
          <w:sz w:val="22"/>
          <w:szCs w:val="22"/>
          <w:u w:color="000000"/>
          <w:rtl w:val="0"/>
          <w:lang w:val="en-US"/>
        </w:rPr>
        <w:t>16. Implementation and Delivery</w:t>
      </w:r>
    </w:p>
    <w:p>
      <w:pPr>
        <w:pStyle w:val="Cap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504" w:lineRule="auto"/>
        <w:rPr>
          <w:b w:val="0"/>
          <w:bCs w:val="0"/>
        </w:rPr>
      </w:pPr>
      <w:r>
        <w:rPr>
          <w:b w:val="0"/>
          <w:bCs w:val="0"/>
          <w:sz w:val="22"/>
          <w:szCs w:val="22"/>
          <w:u w:color="000000"/>
          <w:rtl w:val="0"/>
          <w:lang w:val="en-US"/>
        </w:rPr>
        <w:t>17. Summary of Progress to Date</w:t>
      </w:r>
    </w:p>
    <w:p>
      <w:pPr>
        <w:pStyle w:val="Heading"/>
        <w:rPr>
          <w:lang w:val="it-IT"/>
        </w:rPr>
      </w:pPr>
      <w:r>
        <w:rPr>
          <w:outline w:val="0"/>
          <w:color w:val="000000"/>
          <w:sz w:val="22"/>
          <w:szCs w:val="22"/>
          <w:u w:color="000000"/>
          <w:rtl w:val="0"/>
          <w:lang w:val="it-IT"/>
          <w14:textFill>
            <w14:solidFill>
              <w14:srgbClr w14:val="000000"/>
            </w14:solidFill>
          </w14:textFill>
        </w:rPr>
        <w:t>Appendices</w:t>
      </w:r>
    </w:p>
    <w:p>
      <w:pPr>
        <w:pStyle w:val="Heading"/>
      </w:pPr>
      <w:r>
        <w:rPr>
          <w:rFonts w:ascii="Arial Unicode MS" w:cs="Arial Unicode MS" w:hAnsi="Arial Unicode MS" w:eastAsia="Arial Unicode MS"/>
          <w:b w:val="0"/>
          <w:bCs w:val="0"/>
          <w:i w:val="0"/>
          <w:iCs w:val="0"/>
          <w:outline w:val="0"/>
          <w:color w:val="000000"/>
          <w:u w:color="000000"/>
          <w14:textFill>
            <w14:solidFill>
              <w14:srgbClr w14:val="000000"/>
            </w14:solidFill>
          </w14:textFill>
        </w:rPr>
        <w:br w:type="page"/>
      </w:r>
    </w:p>
    <w:p>
      <w:pPr>
        <w:pStyle w:val="Heading"/>
      </w:pPr>
      <w:r>
        <w:rPr>
          <w:rtl w:val="0"/>
        </w:rPr>
        <w:t>1. Foreword</w:t>
      </w:r>
    </w:p>
    <w:p>
      <w:pPr>
        <w:pStyle w:val="Heading"/>
        <w:rPr>
          <w:rFonts w:ascii="Helvetica Neue" w:cs="Helvetica Neue" w:hAnsi="Helvetica Neue" w:eastAsia="Helvetica Neue"/>
          <w:b w:val="0"/>
          <w:bCs w:val="0"/>
        </w:rPr>
      </w:pPr>
      <w:r>
        <w:rPr>
          <w:rFonts w:ascii="Helvetica Neue" w:hAnsi="Helvetica Neue"/>
          <w:b w:val="0"/>
          <w:bCs w:val="0"/>
          <w:outline w:val="0"/>
          <w:color w:val="000000"/>
          <w:sz w:val="22"/>
          <w:szCs w:val="22"/>
          <w:u w:color="000000"/>
          <w:rtl w:val="0"/>
          <w:lang w:val="en-US"/>
          <w14:textFill>
            <w14:solidFill>
              <w14:srgbClr w14:val="000000"/>
            </w14:solidFill>
          </w14:textFill>
        </w:rPr>
        <w:t>Scalloway was in the privileged position to launch the first Local Place Plan in Shetland and among the first in Scotland. It came on the back of large scale community consultation that resulted in the launch of the Re-Create Scalloway proposal documents for the future growth of the locality in 2019. This consultation, in turn, was the basis for the first Local Place Plan and the foundation for a second round of consultation resulting in the Destination Scalloway masterplan document for the Scalloway waterfront and town centre area.</w:t>
      </w:r>
    </w:p>
    <w:p>
      <w:pPr>
        <w:pStyle w:val="Heading"/>
        <w:rPr>
          <w:rFonts w:ascii="Helvetica Neue" w:cs="Helvetica Neue" w:hAnsi="Helvetica Neue" w:eastAsia="Helvetica Neue"/>
          <w:b w:val="0"/>
          <w:bCs w:val="0"/>
          <w:outline w:val="0"/>
          <w:color w:val="000000"/>
          <w:sz w:val="22"/>
          <w:szCs w:val="22"/>
          <w:u w:color="000000"/>
          <w14:textFill>
            <w14:solidFill>
              <w14:srgbClr w14:val="000000"/>
            </w14:solidFill>
          </w14:textFill>
        </w:rPr>
      </w:pPr>
      <w:r>
        <w:rPr>
          <w:rFonts w:ascii="Helvetica Neue" w:hAnsi="Helvetica Neue"/>
          <w:b w:val="0"/>
          <w:bCs w:val="0"/>
          <w:outline w:val="0"/>
          <w:color w:val="000000"/>
          <w:sz w:val="22"/>
          <w:szCs w:val="22"/>
          <w:u w:color="000000"/>
          <w:rtl w:val="0"/>
          <w:lang w:val="en-US"/>
          <w14:textFill>
            <w14:solidFill>
              <w14:srgbClr w14:val="000000"/>
            </w14:solidFill>
          </w14:textFill>
        </w:rPr>
        <w:t>In the intervening years, several of the major projects that arose from these consultations have been completed, and new development ideas and factors have arisen. The Scalloway Local Place Plan v2/2026 seeks to capture the previous consultations with amendments to bring the document up to date, and to incorporate the revised statutory requirements of Scotland</w:t>
      </w:r>
      <w:r>
        <w:rPr>
          <w:rFonts w:ascii="Helvetica Neue" w:hAnsi="Helvetica Neue" w:hint="default"/>
          <w:b w:val="0"/>
          <w:bCs w:val="0"/>
          <w:outline w:val="0"/>
          <w:color w:val="000000"/>
          <w:sz w:val="22"/>
          <w:szCs w:val="22"/>
          <w:u w:color="000000"/>
          <w:rtl w:val="0"/>
          <w:lang w:val="en-US"/>
          <w14:textFill>
            <w14:solidFill>
              <w14:srgbClr w14:val="000000"/>
            </w14:solidFill>
          </w14:textFill>
        </w:rPr>
        <w:t>’</w:t>
      </w:r>
      <w:r>
        <w:rPr>
          <w:rFonts w:ascii="Helvetica Neue" w:hAnsi="Helvetica Neue"/>
          <w:b w:val="0"/>
          <w:bCs w:val="0"/>
          <w:outline w:val="0"/>
          <w:color w:val="000000"/>
          <w:sz w:val="22"/>
          <w:szCs w:val="22"/>
          <w:u w:color="000000"/>
          <w:rtl w:val="0"/>
          <w:lang w:val="en-US"/>
          <w14:textFill>
            <w14:solidFill>
              <w14:srgbClr w14:val="000000"/>
            </w14:solidFill>
          </w14:textFill>
        </w:rPr>
        <w:t>s updated planning framework, including alignment with National Planning Framework 4 (NPF4).</w:t>
      </w:r>
    </w:p>
    <w:p>
      <w:pPr>
        <w:pStyle w:val="Heading"/>
        <w:rPr>
          <w:rFonts w:ascii="Helvetica Neue" w:cs="Helvetica Neue" w:hAnsi="Helvetica Neue" w:eastAsia="Helvetica Neue"/>
          <w:b w:val="0"/>
          <w:bCs w:val="0"/>
        </w:rPr>
      </w:pPr>
      <w:r>
        <w:rPr>
          <w:rFonts w:ascii="Helvetica Neue" w:hAnsi="Helvetica Neue"/>
          <w:b w:val="0"/>
          <w:bCs w:val="0"/>
          <w:outline w:val="0"/>
          <w:color w:val="444444"/>
          <w:sz w:val="22"/>
          <w:szCs w:val="22"/>
          <w:u w:color="444444"/>
          <w:rtl w:val="0"/>
          <w:lang w:val="de-DE"/>
          <w14:textFill>
            <w14:solidFill>
              <w14:srgbClr w14:val="444444"/>
            </w14:solidFill>
          </w14:textFill>
        </w:rPr>
        <w:t>Mark Burgess</w:t>
      </w:r>
    </w:p>
    <w:p>
      <w:pPr>
        <w:pStyle w:val="Body"/>
      </w:pPr>
      <w:r>
        <w:rPr>
          <w:outline w:val="0"/>
          <w:color w:val="535353"/>
          <w:sz w:val="22"/>
          <w:szCs w:val="22"/>
          <w:u w:color="535353"/>
          <w:rtl w:val="0"/>
          <w:lang w:val="it-IT"/>
          <w14:textFill>
            <w14:solidFill>
              <w14:srgbClr w14:val="535353"/>
            </w14:solidFill>
          </w14:textFill>
        </w:rPr>
        <w:t xml:space="preserve">Vice - </w:t>
      </w:r>
      <w:r>
        <w:rPr>
          <w:outline w:val="0"/>
          <w:color w:val="444444"/>
          <w:sz w:val="22"/>
          <w:szCs w:val="22"/>
          <w:u w:color="444444"/>
          <w:rtl w:val="0"/>
          <w:lang w:val="en-US"/>
          <w14:textFill>
            <w14:solidFill>
              <w14:srgbClr w14:val="444444"/>
            </w14:solidFill>
          </w14:textFill>
        </w:rPr>
        <w:t>Chair Scalloway Community Council</w:t>
      </w:r>
    </w:p>
    <w:p>
      <w:pPr>
        <w:pStyle w:val="Body"/>
      </w:pPr>
      <w:r>
        <w:rPr>
          <w:outline w:val="0"/>
          <w:color w:val="444444"/>
          <w:sz w:val="22"/>
          <w:szCs w:val="22"/>
          <w:u w:color="444444"/>
          <w:rtl w:val="0"/>
          <w:lang w:val="en-US"/>
          <w14:textFill>
            <w14:solidFill>
              <w14:srgbClr w14:val="444444"/>
            </w14:solidFill>
          </w14:textFill>
        </w:rPr>
        <w:t>August</w:t>
      </w:r>
      <w:r>
        <w:rPr>
          <w:outline w:val="0"/>
          <w:color w:val="444444"/>
          <w:sz w:val="22"/>
          <w:szCs w:val="22"/>
          <w:u w:color="444444"/>
          <w:rtl w:val="0"/>
          <w14:textFill>
            <w14:solidFill>
              <w14:srgbClr w14:val="444444"/>
            </w14:solidFill>
          </w14:textFill>
        </w:rPr>
        <w:t xml:space="preserve"> 2026</w:t>
      </w:r>
    </w:p>
    <w:p>
      <w:pPr>
        <w:pStyle w:val="Heading"/>
      </w:pPr>
    </w:p>
    <w:p>
      <w:pPr>
        <w:pStyle w:val="Heading"/>
      </w:pPr>
    </w:p>
    <w:p>
      <w:pPr>
        <w:pStyle w:val="Heading"/>
      </w:pPr>
    </w:p>
    <w:p>
      <w:pPr>
        <w:pStyle w:val="Heading"/>
      </w:pPr>
    </w:p>
    <w:p>
      <w:pPr>
        <w:pStyle w:val="Heading"/>
      </w:pPr>
      <w:r>
        <w:rPr>
          <w:rFonts w:ascii="Arial Unicode MS" w:cs="Arial Unicode MS" w:hAnsi="Arial Unicode MS" w:eastAsia="Arial Unicode MS"/>
          <w:b w:val="0"/>
          <w:bCs w:val="0"/>
          <w:i w:val="0"/>
          <w:iCs w:val="0"/>
        </w:rPr>
        <w:br w:type="page"/>
      </w:r>
    </w:p>
    <w:p>
      <w:pPr>
        <w:pStyle w:val="Heading"/>
      </w:pPr>
      <w:r>
        <w:rPr>
          <w:rtl w:val="0"/>
        </w:rPr>
        <w:t>2. Executive Summary</w:t>
      </w:r>
    </w:p>
    <w:p>
      <w:pPr>
        <w:pStyle w:val="Body"/>
      </w:pPr>
      <w:r>
        <w:rPr>
          <w:rtl w:val="0"/>
        </w:rPr>
        <w:t>Local Place Plans are a statutory type of plan, introduced under the Planning (Scotland) Act 2019, giving communities an opportunity to develop proposals for the development and use of land in the place where they live. This document has been prepared to meet those statutory requirements, while retaining the community voice and evidence base built up through several years of engagement.</w:t>
      </w:r>
    </w:p>
    <w:p>
      <w:pPr>
        <w:pStyle w:val="Body"/>
      </w:pPr>
      <w:r>
        <w:rPr>
          <w:rtl w:val="0"/>
        </w:rPr>
        <w:t>The Scalloway Local Place Plan sets out a 10-year vision for a thriving, resilient, and inclusive community. Building on extensive public engagement through the Re-Create Scalloway initiative and the Destination Scalloway masterplan, this plan identifies priority proposals for the development, use and conservation of land and buildings. It aligns with Scotland</w:t>
      </w:r>
      <w:r>
        <w:rPr>
          <w:rtl w:val="1"/>
        </w:rPr>
        <w:t>’</w:t>
      </w:r>
      <w:r>
        <w:rPr>
          <w:rtl w:val="0"/>
        </w:rPr>
        <w:t>s National Planning Framework 4 (NPF4), the Shetland Local Development Plan 2014 (LDP), and the Shetland Partnership Plan 2018</w:t>
      </w:r>
      <w:r>
        <w:rPr>
          <w:rtl w:val="0"/>
        </w:rPr>
        <w:t>–</w:t>
      </w:r>
      <w:r>
        <w:rPr>
          <w:rtl w:val="0"/>
        </w:rPr>
        <w:t>2028 (SPP).</w:t>
      </w:r>
    </w:p>
    <w:p>
      <w:pPr>
        <w:pStyle w:val="Body"/>
        <w:rPr>
          <w:lang w:val="pt-PT"/>
        </w:rPr>
      </w:pPr>
      <w:r>
        <w:rPr>
          <w:rtl w:val="0"/>
          <w:lang w:val="en-US"/>
        </w:rPr>
        <w:t>It will be used by Shetland Islands Council</w:t>
      </w:r>
      <w:r>
        <w:rPr>
          <w:rtl w:val="0"/>
          <w:lang w:val="en-US"/>
        </w:rPr>
        <w:t>’</w:t>
      </w:r>
      <w:r>
        <w:rPr>
          <w:rtl w:val="0"/>
          <w:lang w:val="en-US"/>
        </w:rPr>
        <w:t>s Planning Service as a material consideration when determining planning applications and in taking forward the Council</w:t>
      </w:r>
      <w:r>
        <w:rPr>
          <w:rtl w:val="0"/>
          <w:lang w:val="en-US"/>
        </w:rPr>
        <w:t>’</w:t>
      </w:r>
      <w:r>
        <w:rPr>
          <w:rtl w:val="0"/>
          <w:lang w:val="en-US"/>
        </w:rPr>
        <w:t>s next Local Development Plan (LDP2). It will also provide an evidence base to support the Council, Scalloway Community Council and others when applying for funding to deliver on the community</w:t>
      </w:r>
      <w:r>
        <w:rPr>
          <w:rtl w:val="0"/>
          <w:lang w:val="en-US"/>
        </w:rPr>
        <w:t>’</w:t>
      </w:r>
      <w:r>
        <w:rPr>
          <w:rtl w:val="0"/>
          <w:lang w:val="pt-PT"/>
        </w:rPr>
        <w:t>s priorities.</w:t>
      </w:r>
    </w:p>
    <w:p>
      <w:pPr>
        <w:pStyle w:val="Body"/>
      </w:pPr>
    </w:p>
    <w:p>
      <w:pPr>
        <w:pStyle w:val="Body"/>
      </w:pPr>
      <w:r>
        <w:rPr>
          <w:rtl w:val="0"/>
        </w:rPr>
        <w:t>Scalloway</w:t>
      </w:r>
      <w:r>
        <w:rPr>
          <w:rtl w:val="1"/>
        </w:rPr>
        <w:t>’</w:t>
      </w:r>
      <w:r>
        <w:rPr>
          <w:rtl w:val="0"/>
        </w:rPr>
        <w:t>s key priorities include:</w:t>
      </w:r>
    </w:p>
    <w:p>
      <w:pPr>
        <w:pStyle w:val="Body"/>
        <w:numPr>
          <w:ilvl w:val="0"/>
          <w:numId w:val="2"/>
        </w:numPr>
      </w:pPr>
      <w:r>
        <w:rPr>
          <w:rFonts w:ascii="Arial" w:hAnsi="Arial"/>
          <w:outline w:val="0"/>
          <w:color w:val="000000"/>
          <w:u w:color="000000"/>
          <w:rtl w:val="0"/>
          <w:lang w:val="en-US"/>
          <w14:textFill>
            <w14:solidFill>
              <w14:srgbClr w14:val="000000"/>
            </w14:solidFill>
          </w14:textFill>
        </w:rPr>
        <w:t>Expansion of Burn Beach for parking and public realm</w:t>
      </w:r>
    </w:p>
    <w:p>
      <w:pPr>
        <w:pStyle w:val="Body"/>
        <w:numPr>
          <w:ilvl w:val="0"/>
          <w:numId w:val="2"/>
        </w:numPr>
      </w:pPr>
      <w:r>
        <w:rPr>
          <w:rFonts w:ascii="Arial" w:hAnsi="Arial"/>
          <w:outline w:val="0"/>
          <w:color w:val="000000"/>
          <w:u w:color="000000"/>
          <w:rtl w:val="0"/>
          <w:lang w:val="en-US"/>
          <w14:textFill>
            <w14:solidFill>
              <w14:srgbClr w14:val="000000"/>
            </w14:solidFill>
          </w14:textFill>
        </w:rPr>
        <w:t>Improved waterfront walkways and moorings</w:t>
      </w:r>
    </w:p>
    <w:p>
      <w:pPr>
        <w:pStyle w:val="Body"/>
        <w:numPr>
          <w:ilvl w:val="0"/>
          <w:numId w:val="2"/>
        </w:numPr>
      </w:pPr>
      <w:r>
        <w:rPr>
          <w:rFonts w:ascii="Arial" w:hAnsi="Arial"/>
          <w:outline w:val="0"/>
          <w:color w:val="000000"/>
          <w:u w:color="000000"/>
          <w:rtl w:val="0"/>
          <w:lang w:val="en-US"/>
          <w14:textFill>
            <w14:solidFill>
              <w14:srgbClr w14:val="000000"/>
            </w14:solidFill>
          </w14:textFill>
        </w:rPr>
        <w:t>Reconfiguration of Main Street</w:t>
      </w:r>
    </w:p>
    <w:p>
      <w:pPr>
        <w:pStyle w:val="Body"/>
        <w:numPr>
          <w:ilvl w:val="0"/>
          <w:numId w:val="2"/>
        </w:numPr>
      </w:pPr>
      <w:r>
        <w:rPr>
          <w:rFonts w:ascii="Arial" w:hAnsi="Arial"/>
          <w:outline w:val="0"/>
          <w:color w:val="000000"/>
          <w:u w:color="000000"/>
          <w:rtl w:val="0"/>
          <w:lang w:val="en-US"/>
          <w14:textFill>
            <w14:solidFill>
              <w14:srgbClr w14:val="000000"/>
            </w14:solidFill>
          </w14:textFill>
        </w:rPr>
        <w:t>Improvements to Fraser Park</w:t>
      </w:r>
    </w:p>
    <w:p>
      <w:pPr>
        <w:pStyle w:val="Body"/>
        <w:numPr>
          <w:ilvl w:val="0"/>
          <w:numId w:val="2"/>
        </w:numPr>
      </w:pPr>
      <w:r>
        <w:rPr>
          <w:rFonts w:ascii="Arial" w:hAnsi="Arial"/>
          <w:outline w:val="0"/>
          <w:color w:val="000000"/>
          <w:u w:color="000000"/>
          <w:rtl w:val="0"/>
          <w:lang w:val="en-US"/>
          <w14:textFill>
            <w14:solidFill>
              <w14:srgbClr w14:val="000000"/>
            </w14:solidFill>
          </w14:textFill>
        </w:rPr>
        <w:t>Promotion of housing and tourism development</w:t>
      </w:r>
    </w:p>
    <w:p>
      <w:pPr>
        <w:pStyle w:val="List Paragraph"/>
        <w:spacing w:after="80"/>
      </w:pPr>
    </w:p>
    <w:p>
      <w:pPr>
        <w:pStyle w:val="Body"/>
      </w:pPr>
      <w:r>
        <w:rPr>
          <w:rFonts w:ascii="Arial" w:hAnsi="Arial"/>
          <w:rtl w:val="0"/>
          <w:lang w:val="en-US"/>
        </w:rPr>
        <w:t>These proposals reflect community aspirations for better connectivity, enhanced public spaces, sustainable development, and inclusive participation. This document brings together the outputs of the Re-Create Scalloway public engagement events (2018), the Destination Scalloway masterplan (2022), and the policy context required by the updated statutory framework.</w:t>
      </w:r>
    </w:p>
    <w:p>
      <w:pPr>
        <w:pStyle w:val="List Paragraph"/>
        <w:spacing w:after="80"/>
      </w:pPr>
      <w:r>
        <w:rPr>
          <w:rFonts w:ascii="Arial Unicode MS" w:cs="Arial Unicode MS" w:hAnsi="Arial Unicode MS" w:eastAsia="Arial Unicode MS"/>
          <w:b w:val="0"/>
          <w:bCs w:val="0"/>
          <w:i w:val="0"/>
          <w:iCs w:val="0"/>
        </w:rPr>
        <w:br w:type="page"/>
      </w:r>
    </w:p>
    <w:p>
      <w:pPr>
        <w:pStyle w:val="Heading"/>
      </w:pPr>
      <w:r>
        <w:rPr>
          <w:rtl w:val="0"/>
        </w:rPr>
        <w:t>3. Introduction, Vision, Objectives and Community Profile</w:t>
      </w:r>
    </w:p>
    <w:p>
      <w:pPr>
        <w:pStyle w:val="Heading 2"/>
      </w:pPr>
      <w:r>
        <w:rPr>
          <w:rtl w:val="0"/>
        </w:rPr>
        <w:t>Introduction</w:t>
      </w:r>
    </w:p>
    <w:p>
      <w:pPr>
        <w:pStyle w:val="Body"/>
      </w:pPr>
      <w:r>
        <w:rPr>
          <w:sz w:val="22"/>
          <w:szCs w:val="22"/>
          <w:rtl w:val="0"/>
          <w:lang w:val="en-US"/>
        </w:rPr>
        <w:t>Scalloway Community Council, supported by Shetland Islands Council, has led the development of this Local Place Plan. It builds on the Re-Create Scalloway consultations (2018</w:t>
      </w:r>
      <w:r>
        <w:rPr>
          <w:sz w:val="22"/>
          <w:szCs w:val="22"/>
          <w:rtl w:val="0"/>
          <w:lang w:val="fr-FR"/>
        </w:rPr>
        <w:t>–</w:t>
      </w:r>
      <w:r>
        <w:rPr>
          <w:sz w:val="22"/>
          <w:szCs w:val="22"/>
          <w:rtl w:val="0"/>
          <w:lang w:val="en-US"/>
        </w:rPr>
        <w:t>2019) and the Destination Scalloway masterplan (2022), incorporating feedback from residents, youth groups, businesses, and stakeholders.</w:t>
      </w:r>
    </w:p>
    <w:p>
      <w:pPr>
        <w:pStyle w:val="Body"/>
      </w:pPr>
      <w:r>
        <w:rPr>
          <w:sz w:val="22"/>
          <w:szCs w:val="22"/>
          <w:rtl w:val="0"/>
          <w:lang w:val="en-US"/>
        </w:rPr>
        <w:t>The three key documents that underpin this plan are:</w:t>
      </w:r>
    </w:p>
    <w:p>
      <w:pPr>
        <w:pStyle w:val="Body"/>
        <w:numPr>
          <w:ilvl w:val="0"/>
          <w:numId w:val="2"/>
        </w:numPr>
      </w:pPr>
      <w:r>
        <w:rPr>
          <w:rFonts w:ascii="Arial" w:hAnsi="Arial"/>
          <w:outline w:val="0"/>
          <w:color w:val="000000"/>
          <w:u w:color="000000"/>
          <w:rtl w:val="0"/>
          <w:lang w:val="en-US"/>
          <w14:textFill>
            <w14:solidFill>
              <w14:srgbClr w14:val="000000"/>
            </w14:solidFill>
          </w14:textFill>
        </w:rPr>
        <w:t xml:space="preserve">Re-Create Scalloway Spatial Vision (May 2019) </w:t>
      </w:r>
      <w:r>
        <w:rPr>
          <w:rFonts w:ascii="Arial" w:hAnsi="Arial" w:hint="default"/>
          <w:outline w:val="0"/>
          <w:color w:val="000000"/>
          <w:u w:color="000000"/>
          <w:rtl w:val="0"/>
          <w14:textFill>
            <w14:solidFill>
              <w14:srgbClr w14:val="000000"/>
            </w14:solidFill>
          </w14:textFill>
        </w:rPr>
        <w:t xml:space="preserve">– </w:t>
      </w:r>
      <w:r>
        <w:rPr>
          <w:rFonts w:ascii="Arial" w:hAnsi="Arial"/>
          <w:outline w:val="0"/>
          <w:color w:val="000000"/>
          <w:u w:color="000000"/>
          <w:rtl w:val="0"/>
          <w:lang w:val="en-US"/>
          <w14:textFill>
            <w14:solidFill>
              <w14:srgbClr w14:val="000000"/>
            </w14:solidFill>
          </w14:textFill>
        </w:rPr>
        <w:t>identifies priority areas for improvement and reports on the outcomes of community engagement in 2018.</w:t>
      </w:r>
    </w:p>
    <w:p>
      <w:pPr>
        <w:pStyle w:val="Body"/>
        <w:numPr>
          <w:ilvl w:val="0"/>
          <w:numId w:val="2"/>
        </w:numPr>
      </w:pPr>
      <w:r>
        <w:rPr>
          <w:rFonts w:ascii="Arial" w:hAnsi="Arial"/>
          <w:outline w:val="0"/>
          <w:color w:val="000000"/>
          <w:u w:color="000000"/>
          <w:rtl w:val="0"/>
          <w:lang w:val="en-US"/>
          <w14:textFill>
            <w14:solidFill>
              <w14:srgbClr w14:val="000000"/>
            </w14:solidFill>
          </w14:textFill>
        </w:rPr>
        <w:t xml:space="preserve">Re-Create Scalloway Action Plan (May 2019) </w:t>
      </w:r>
      <w:r>
        <w:rPr>
          <w:rFonts w:ascii="Arial" w:hAnsi="Arial" w:hint="default"/>
          <w:outline w:val="0"/>
          <w:color w:val="000000"/>
          <w:u w:color="000000"/>
          <w:rtl w:val="0"/>
          <w14:textFill>
            <w14:solidFill>
              <w14:srgbClr w14:val="000000"/>
            </w14:solidFill>
          </w14:textFill>
        </w:rPr>
        <w:t xml:space="preserve">– </w:t>
      </w:r>
      <w:r>
        <w:rPr>
          <w:rFonts w:ascii="Arial" w:hAnsi="Arial"/>
          <w:outline w:val="0"/>
          <w:color w:val="000000"/>
          <w:u w:color="000000"/>
          <w:rtl w:val="0"/>
          <w:lang w:val="en-US"/>
          <w14:textFill>
            <w14:solidFill>
              <w14:srgbClr w14:val="000000"/>
            </w14:solidFill>
          </w14:textFill>
        </w:rPr>
        <w:t>sets out the actions required to deliver the priorities, identifies partners and potential funding sources.</w:t>
      </w:r>
    </w:p>
    <w:p>
      <w:pPr>
        <w:pStyle w:val="Body"/>
        <w:numPr>
          <w:ilvl w:val="0"/>
          <w:numId w:val="2"/>
        </w:numPr>
      </w:pPr>
      <w:r>
        <w:rPr>
          <w:rFonts w:ascii="Arial" w:hAnsi="Arial"/>
          <w:outline w:val="0"/>
          <w:color w:val="000000"/>
          <w:u w:color="000000"/>
          <w:rtl w:val="0"/>
          <w:lang w:val="en-US"/>
          <w14:textFill>
            <w14:solidFill>
              <w14:srgbClr w14:val="000000"/>
            </w14:solidFill>
          </w14:textFill>
        </w:rPr>
        <w:t xml:space="preserve">Destination Scalloway (Autumn 2022) </w:t>
      </w:r>
      <w:r>
        <w:rPr>
          <w:rFonts w:ascii="Arial" w:hAnsi="Arial" w:hint="default"/>
          <w:outline w:val="0"/>
          <w:color w:val="000000"/>
          <w:u w:color="000000"/>
          <w:rtl w:val="0"/>
          <w14:textFill>
            <w14:solidFill>
              <w14:srgbClr w14:val="000000"/>
            </w14:solidFill>
          </w14:textFill>
        </w:rPr>
        <w:t xml:space="preserve">– </w:t>
      </w:r>
      <w:r>
        <w:rPr>
          <w:rFonts w:ascii="Arial" w:hAnsi="Arial"/>
          <w:outline w:val="0"/>
          <w:color w:val="000000"/>
          <w:u w:color="000000"/>
          <w:rtl w:val="0"/>
          <w:lang w:val="en-US"/>
          <w14:textFill>
            <w14:solidFill>
              <w14:srgbClr w14:val="000000"/>
            </w14:solidFill>
          </w14:textFill>
        </w:rPr>
        <w:t>the masterplanning document arising from the Scalloway Waterfront and Town Centre Feasibility Study, focusing on the waterfront and town centre area.</w:t>
      </w:r>
    </w:p>
    <w:p>
      <w:pPr>
        <w:pStyle w:val="List Paragraph"/>
        <w:spacing w:after="80"/>
      </w:pPr>
    </w:p>
    <w:p>
      <w:pPr>
        <w:pStyle w:val="Heading 2"/>
      </w:pPr>
      <w:r>
        <w:rPr>
          <w:rtl w:val="0"/>
        </w:rPr>
        <w:t>Vision</w:t>
      </w:r>
    </w:p>
    <w:p>
      <w:pPr>
        <w:pStyle w:val="Body"/>
      </w:pPr>
      <w:r>
        <w:rPr>
          <w:rtl w:val="0"/>
        </w:rPr>
        <w:t>Our vision for Scalloway is shaped around four themes:</w:t>
      </w:r>
    </w:p>
    <w:p>
      <w:pPr>
        <w:pStyle w:val="Heading 3"/>
      </w:pPr>
      <w:r>
        <w:rPr>
          <w:rtl w:val="0"/>
        </w:rPr>
        <w:t>Scalloway</w:t>
      </w:r>
      <w:r>
        <w:rPr>
          <w:rtl w:val="0"/>
        </w:rPr>
        <w:t>’</w:t>
      </w:r>
      <w:r>
        <w:rPr>
          <w:rtl w:val="0"/>
        </w:rPr>
        <w:t>s People</w:t>
      </w:r>
    </w:p>
    <w:p>
      <w:pPr>
        <w:pStyle w:val="Body"/>
      </w:pPr>
      <w:r>
        <w:rPr>
          <w:outline w:val="0"/>
          <w:color w:val="000000"/>
          <w:sz w:val="22"/>
          <w:szCs w:val="22"/>
          <w:u w:color="000000"/>
          <w:rtl w:val="0"/>
          <w:lang w:val="en-US"/>
          <w14:textFill>
            <w14:solidFill>
              <w14:srgbClr w14:val="000000"/>
            </w14:solidFill>
          </w14:textFill>
        </w:rPr>
        <w:t>A community working together to deliver the Spatial Vision and Action Plan. Key to this is the active participation of members of the Scalloway community, community groups, volunteers, and community services all contributing to a thriving, healthy and happy community.</w:t>
      </w:r>
    </w:p>
    <w:p>
      <w:pPr>
        <w:pStyle w:val="Heading 3"/>
      </w:pPr>
      <w:r>
        <w:rPr>
          <w:rtl w:val="0"/>
        </w:rPr>
        <w:t>Scalloway and Place</w:t>
      </w:r>
    </w:p>
    <w:p>
      <w:pPr>
        <w:pStyle w:val="Body"/>
        <w:rPr>
          <w:outline w:val="0"/>
          <w:color w:val="000000"/>
          <w:sz w:val="22"/>
          <w:szCs w:val="22"/>
          <w:u w:color="000000"/>
          <w14:textFill>
            <w14:solidFill>
              <w14:srgbClr w14:val="000000"/>
            </w14:solidFill>
          </w14:textFill>
        </w:rPr>
      </w:pPr>
      <w:r>
        <w:rPr>
          <w:outline w:val="0"/>
          <w:color w:val="000000"/>
          <w:sz w:val="22"/>
          <w:szCs w:val="22"/>
          <w:u w:color="000000"/>
          <w:rtl w:val="0"/>
          <w:lang w:val="en-US"/>
          <w14:textFill>
            <w14:solidFill>
              <w14:srgbClr w14:val="000000"/>
            </w14:solidFill>
          </w14:textFill>
        </w:rPr>
        <w:t>A connected waterfront and vibrant village centre that promotes a distinctive, safer and attractive place for residents, visitors and businesses. The Local Place Plan creates the important link between land use planning and community planning, and Scalloway Community Council will work alongside Shetland Islands Council to seek funding opportunities to deliver the Spatial Vision and Action Plan.</w:t>
      </w:r>
    </w:p>
    <w:p>
      <w:pPr>
        <w:pStyle w:val="Heading 2"/>
      </w:pPr>
      <w:r>
        <w:rPr>
          <w:outline w:val="0"/>
          <w:color w:val="000000"/>
          <w:sz w:val="22"/>
          <w:szCs w:val="22"/>
          <w:u w:color="000000"/>
          <w14:textFill>
            <w14:solidFill>
              <w14:srgbClr w14:val="000000"/>
            </w14:solidFill>
          </w14:textFill>
        </w:rPr>
        <w:drawing xmlns:a="http://schemas.openxmlformats.org/drawingml/2006/main">
          <wp:inline distT="0" distB="0" distL="0" distR="0">
            <wp:extent cx="1369125" cy="1382816"/>
            <wp:effectExtent l="0" t="0" r="0" b="0"/>
            <wp:docPr id="1073741830" name="officeArt object" descr="page6image676736.jpg"/>
            <wp:cNvGraphicFramePr/>
            <a:graphic xmlns:a="http://schemas.openxmlformats.org/drawingml/2006/main">
              <a:graphicData uri="http://schemas.openxmlformats.org/drawingml/2006/picture">
                <pic:pic xmlns:pic="http://schemas.openxmlformats.org/drawingml/2006/picture">
                  <pic:nvPicPr>
                    <pic:cNvPr id="1073741830" name="page6image676736.jpg" descr="page6image676736.jpg"/>
                    <pic:cNvPicPr>
                      <a:picLocks noChangeAspect="1"/>
                    </pic:cNvPicPr>
                  </pic:nvPicPr>
                  <pic:blipFill>
                    <a:blip r:embed="rId6">
                      <a:extLst/>
                    </a:blip>
                    <a:stretch>
                      <a:fillRect/>
                    </a:stretch>
                  </pic:blipFill>
                  <pic:spPr>
                    <a:xfrm>
                      <a:off x="0" y="0"/>
                      <a:ext cx="1369125" cy="1382816"/>
                    </a:xfrm>
                    <a:prstGeom prst="rect">
                      <a:avLst/>
                    </a:prstGeom>
                    <a:ln w="25400" cap="flat">
                      <a:solidFill>
                        <a:srgbClr val="F3F7F5"/>
                      </a:solidFill>
                      <a:prstDash val="solid"/>
                      <a:miter lim="400000"/>
                    </a:ln>
                    <a:effectLst>
                      <a:outerShdw sx="100000" sy="100000" kx="0" ky="0" algn="b" rotWithShape="0" blurRad="50800" dist="25400" dir="3600000">
                        <a:srgbClr val="000000">
                          <a:alpha val="70000"/>
                        </a:srgbClr>
                      </a:outerShdw>
                    </a:effectLst>
                  </pic:spPr>
                </pic:pic>
              </a:graphicData>
            </a:graphic>
          </wp:inline>
        </w:drawing>
      </w:r>
      <w:r>
        <w:rPr>
          <w:outline w:val="0"/>
          <w:color w:val="000000"/>
          <w:sz w:val="22"/>
          <w:szCs w:val="22"/>
          <w:u w:color="000000"/>
          <w14:textFill>
            <w14:solidFill>
              <w14:srgbClr w14:val="000000"/>
            </w14:solidFill>
          </w14:textFill>
        </w:rPr>
        <w:drawing xmlns:a="http://schemas.openxmlformats.org/drawingml/2006/main">
          <wp:inline distT="0" distB="0" distL="0" distR="0">
            <wp:extent cx="1837690" cy="1382816"/>
            <wp:effectExtent l="0" t="0" r="0" b="0"/>
            <wp:docPr id="1073741831" name="officeArt object" descr="page6image677152.jpg"/>
            <wp:cNvGraphicFramePr/>
            <a:graphic xmlns:a="http://schemas.openxmlformats.org/drawingml/2006/main">
              <a:graphicData uri="http://schemas.openxmlformats.org/drawingml/2006/picture">
                <pic:pic xmlns:pic="http://schemas.openxmlformats.org/drawingml/2006/picture">
                  <pic:nvPicPr>
                    <pic:cNvPr id="1073741831" name="page6image677152.jpg" descr="page6image677152.jpg"/>
                    <pic:cNvPicPr>
                      <a:picLocks noChangeAspect="1"/>
                    </pic:cNvPicPr>
                  </pic:nvPicPr>
                  <pic:blipFill>
                    <a:blip r:embed="rId7">
                      <a:extLst/>
                    </a:blip>
                    <a:stretch>
                      <a:fillRect/>
                    </a:stretch>
                  </pic:blipFill>
                  <pic:spPr>
                    <a:xfrm>
                      <a:off x="0" y="0"/>
                      <a:ext cx="1837690" cy="1382816"/>
                    </a:xfrm>
                    <a:prstGeom prst="rect">
                      <a:avLst/>
                    </a:prstGeom>
                    <a:ln w="25400" cap="flat">
                      <a:solidFill>
                        <a:srgbClr val="F3F7F5"/>
                      </a:solidFill>
                      <a:prstDash val="solid"/>
                      <a:miter lim="400000"/>
                    </a:ln>
                    <a:effectLst>
                      <a:outerShdw sx="100000" sy="100000" kx="0" ky="0" algn="b" rotWithShape="0" blurRad="50800" dist="25400" dir="3600000">
                        <a:srgbClr val="000000">
                          <a:alpha val="70000"/>
                        </a:srgbClr>
                      </a:outerShdw>
                    </a:effectLst>
                  </pic:spPr>
                </pic:pic>
              </a:graphicData>
            </a:graphic>
          </wp:inline>
        </w:drawing>
      </w:r>
      <w:r>
        <w:rPr>
          <w:outline w:val="0"/>
          <w:color w:val="000000"/>
          <w:sz w:val="22"/>
          <w:szCs w:val="22"/>
          <w:u w:color="000000"/>
          <w14:textFill>
            <w14:solidFill>
              <w14:srgbClr w14:val="000000"/>
            </w14:solidFill>
          </w14:textFill>
        </w:rPr>
        <w:drawing xmlns:a="http://schemas.openxmlformats.org/drawingml/2006/main">
          <wp:inline distT="0" distB="0" distL="0" distR="0">
            <wp:extent cx="2480302" cy="1380701"/>
            <wp:effectExtent l="0" t="0" r="0" b="0"/>
            <wp:docPr id="1073741832" name="officeArt object" descr="page6image677360.jpg"/>
            <wp:cNvGraphicFramePr/>
            <a:graphic xmlns:a="http://schemas.openxmlformats.org/drawingml/2006/main">
              <a:graphicData uri="http://schemas.openxmlformats.org/drawingml/2006/picture">
                <pic:pic xmlns:pic="http://schemas.openxmlformats.org/drawingml/2006/picture">
                  <pic:nvPicPr>
                    <pic:cNvPr id="1073741832" name="page6image677360.jpg" descr="page6image677360.jpg"/>
                    <pic:cNvPicPr>
                      <a:picLocks noChangeAspect="1"/>
                    </pic:cNvPicPr>
                  </pic:nvPicPr>
                  <pic:blipFill>
                    <a:blip r:embed="rId8">
                      <a:extLst/>
                    </a:blip>
                    <a:stretch>
                      <a:fillRect/>
                    </a:stretch>
                  </pic:blipFill>
                  <pic:spPr>
                    <a:xfrm>
                      <a:off x="0" y="0"/>
                      <a:ext cx="2480302" cy="1380701"/>
                    </a:xfrm>
                    <a:prstGeom prst="rect">
                      <a:avLst/>
                    </a:prstGeom>
                    <a:ln w="25400" cap="flat">
                      <a:solidFill>
                        <a:srgbClr val="F3F7F5"/>
                      </a:solidFill>
                      <a:prstDash val="solid"/>
                      <a:miter lim="400000"/>
                    </a:ln>
                    <a:effectLst>
                      <a:outerShdw sx="100000" sy="100000" kx="0" ky="0" algn="b" rotWithShape="0" blurRad="50800" dist="25400" dir="3600000">
                        <a:srgbClr val="000000">
                          <a:alpha val="70000"/>
                        </a:srgbClr>
                      </a:outerShdw>
                    </a:effectLst>
                  </pic:spPr>
                </pic:pic>
              </a:graphicData>
            </a:graphic>
          </wp:inline>
        </w:drawing>
      </w:r>
    </w:p>
    <w:p>
      <w:pPr>
        <w:pStyle w:val="Heading 2"/>
      </w:pPr>
    </w:p>
    <w:p>
      <w:pPr>
        <w:pStyle w:val="Heading 3"/>
      </w:pPr>
      <w:r>
        <w:rPr>
          <w:sz w:val="22"/>
          <w:szCs w:val="22"/>
          <w:rtl w:val="0"/>
          <w:lang w:val="en-US"/>
        </w:rPr>
        <w:t xml:space="preserve">Community </w:t>
      </w:r>
      <w:r>
        <w:rPr>
          <w:rtl w:val="0"/>
        </w:rPr>
        <w:t>Participation</w:t>
      </w:r>
    </w:p>
    <w:p>
      <w:pPr>
        <w:pStyle w:val="Body"/>
        <w:rPr>
          <w:outline w:val="0"/>
          <w:color w:val="000000"/>
          <w:sz w:val="22"/>
          <w:szCs w:val="22"/>
          <w:u w:color="000000"/>
          <w14:textFill>
            <w14:solidFill>
              <w14:srgbClr w14:val="000000"/>
            </w14:solidFill>
          </w14:textFill>
        </w:rPr>
      </w:pPr>
      <w:r>
        <w:rPr>
          <w:outline w:val="0"/>
          <w:color w:val="000000"/>
          <w:sz w:val="22"/>
          <w:szCs w:val="22"/>
          <w:u w:color="000000"/>
          <w:rtl w:val="0"/>
          <w:lang w:val="en-US"/>
          <w14:textFill>
            <w14:solidFill>
              <w14:srgbClr w14:val="000000"/>
            </w14:solidFill>
          </w14:textFill>
        </w:rPr>
        <w:t>Inclusive engagement across all age groups, with young people helping shape the future. We shall continue to involve all of the community, use local knowledge and skills, and promote and encourage active participation.</w:t>
      </w:r>
    </w:p>
    <w:p>
      <w:pPr>
        <w:pStyle w:val="Heading 2"/>
      </w:pPr>
      <w:r>
        <w:rPr>
          <w:outline w:val="0"/>
          <w:color w:val="000000"/>
          <w:sz w:val="22"/>
          <w:szCs w:val="22"/>
          <w:u w:color="000000"/>
          <w14:textFill>
            <w14:solidFill>
              <w14:srgbClr w14:val="000000"/>
            </w14:solidFill>
          </w14:textFill>
        </w:rPr>
        <w:drawing xmlns:a="http://schemas.openxmlformats.org/drawingml/2006/main">
          <wp:inline distT="0" distB="0" distL="0" distR="0">
            <wp:extent cx="6045073" cy="1558308"/>
            <wp:effectExtent l="0" t="0" r="0" b="0"/>
            <wp:docPr id="1073741833" name="officeArt object" descr="page7image65168.jpg"/>
            <wp:cNvGraphicFramePr/>
            <a:graphic xmlns:a="http://schemas.openxmlformats.org/drawingml/2006/main">
              <a:graphicData uri="http://schemas.openxmlformats.org/drawingml/2006/picture">
                <pic:pic xmlns:pic="http://schemas.openxmlformats.org/drawingml/2006/picture">
                  <pic:nvPicPr>
                    <pic:cNvPr id="1073741833" name="page7image65168.jpg" descr="page7image65168.jpg"/>
                    <pic:cNvPicPr>
                      <a:picLocks noChangeAspect="1"/>
                    </pic:cNvPicPr>
                  </pic:nvPicPr>
                  <pic:blipFill>
                    <a:blip r:embed="rId9">
                      <a:extLst/>
                    </a:blip>
                    <a:stretch>
                      <a:fillRect/>
                    </a:stretch>
                  </pic:blipFill>
                  <pic:spPr>
                    <a:xfrm>
                      <a:off x="0" y="0"/>
                      <a:ext cx="6045073" cy="1558308"/>
                    </a:xfrm>
                    <a:prstGeom prst="rect">
                      <a:avLst/>
                    </a:prstGeom>
                    <a:ln w="25400" cap="flat">
                      <a:solidFill>
                        <a:srgbClr val="F3F7F5"/>
                      </a:solidFill>
                      <a:prstDash val="solid"/>
                      <a:miter lim="400000"/>
                    </a:ln>
                    <a:effectLst>
                      <a:outerShdw sx="100000" sy="100000" kx="0" ky="0" algn="b" rotWithShape="0" blurRad="50800" dist="25400" dir="3600000">
                        <a:srgbClr val="000000">
                          <a:alpha val="70000"/>
                        </a:srgbClr>
                      </a:outerShdw>
                    </a:effectLst>
                  </pic:spPr>
                </pic:pic>
              </a:graphicData>
            </a:graphic>
          </wp:inline>
        </w:drawing>
      </w:r>
    </w:p>
    <w:p>
      <w:pPr>
        <w:pStyle w:val="Heading 3"/>
      </w:pPr>
      <w:r>
        <w:rPr>
          <w:sz w:val="22"/>
          <w:szCs w:val="22"/>
          <w:rtl w:val="0"/>
          <w:lang w:val="en-US"/>
        </w:rPr>
        <w:t>Equality and Accessibility</w:t>
      </w:r>
    </w:p>
    <w:p>
      <w:pPr>
        <w:pStyle w:val="Body"/>
      </w:pPr>
      <w:r>
        <w:rPr>
          <w:outline w:val="0"/>
          <w:color w:val="000000"/>
          <w:sz w:val="22"/>
          <w:szCs w:val="22"/>
          <w:u w:color="000000"/>
          <w:rtl w:val="0"/>
          <w:lang w:val="en-US"/>
          <w14:textFill>
            <w14:solidFill>
              <w14:srgbClr w14:val="000000"/>
            </w14:solidFill>
          </w14:textFill>
        </w:rPr>
        <w:t>A well-connected village with accessible public spaces and services for all. We shall continue to facilitate community-led involvement in the future planning of homes and businesses, providing accessibility to public spaces, services and facilities.</w:t>
      </w:r>
    </w:p>
    <w:p>
      <w:pPr>
        <w:pStyle w:val="Heading 2"/>
      </w:pPr>
    </w:p>
    <w:p>
      <w:pPr>
        <w:pStyle w:val="Heading 2"/>
      </w:pPr>
      <w:r>
        <w:rPr>
          <w:rtl w:val="0"/>
        </w:rPr>
        <w:t>Community Profile</w:t>
      </w:r>
    </w:p>
    <w:p>
      <w:pPr>
        <w:pStyle w:val="Body"/>
      </w:pPr>
      <w:r>
        <w:rPr>
          <w:rtl w:val="0"/>
        </w:rPr>
        <w:t>Scalloway is a coastal village with a population of approximately 1,</w:t>
      </w:r>
      <w:r>
        <w:rPr>
          <w:rtl w:val="0"/>
        </w:rPr>
        <w:t>175</w:t>
      </w:r>
      <w:r>
        <w:rPr>
          <w:rtl w:val="0"/>
        </w:rPr>
        <w:t xml:space="preserve"> (20</w:t>
      </w:r>
      <w:r>
        <w:rPr>
          <w:rtl w:val="0"/>
        </w:rPr>
        <w:t>2</w:t>
      </w:r>
      <w:r>
        <w:rPr>
          <w:rtl w:val="0"/>
        </w:rPr>
        <w:t xml:space="preserve">1 Census). The population </w:t>
      </w:r>
      <w:r>
        <w:rPr>
          <w:rtl w:val="0"/>
        </w:rPr>
        <w:t>range shows</w:t>
      </w:r>
      <w:r>
        <w:rPr>
          <w:rtl w:val="0"/>
        </w:rPr>
        <w:t> </w:t>
      </w:r>
      <w:r>
        <w:rPr>
          <w:rtl w:val="0"/>
        </w:rPr>
        <w:t>26.8%</w:t>
      </w:r>
      <w:r>
        <w:rPr>
          <w:rtl w:val="0"/>
        </w:rPr>
        <w:t> </w:t>
      </w:r>
      <w:r>
        <w:rPr>
          <w:rtl w:val="0"/>
        </w:rPr>
        <w:t>aged 25</w:t>
      </w:r>
      <w:r>
        <w:rPr>
          <w:rtl w:val="0"/>
        </w:rPr>
        <w:t>–</w:t>
      </w:r>
      <w:r>
        <w:rPr>
          <w:rtl w:val="0"/>
        </w:rPr>
        <w:t>44 and</w:t>
      </w:r>
      <w:r>
        <w:rPr>
          <w:rtl w:val="0"/>
        </w:rPr>
        <w:t> </w:t>
      </w:r>
      <w:r>
        <w:rPr>
          <w:rtl w:val="0"/>
        </w:rPr>
        <w:t>26.7%</w:t>
      </w:r>
      <w:r>
        <w:rPr>
          <w:rtl w:val="0"/>
        </w:rPr>
        <w:t> </w:t>
      </w:r>
      <w:r>
        <w:rPr>
          <w:rtl w:val="0"/>
        </w:rPr>
        <w:t>aged 45</w:t>
      </w:r>
      <w:r>
        <w:rPr>
          <w:rtl w:val="0"/>
        </w:rPr>
        <w:t>–</w:t>
      </w:r>
      <w:r>
        <w:rPr>
          <w:rtl w:val="0"/>
        </w:rPr>
        <w:t>64</w:t>
      </w:r>
      <w:r>
        <w:rPr>
          <w:rtl w:val="0"/>
        </w:rPr>
        <w:t xml:space="preserve"> at that time with</w:t>
      </w:r>
      <w:r>
        <w:rPr>
          <w:rtl w:val="0"/>
        </w:rPr>
        <w:t> </w:t>
      </w:r>
      <w:r>
        <w:rPr>
          <w:rtl w:val="0"/>
        </w:rPr>
        <w:t>5.1%</w:t>
      </w:r>
      <w:r>
        <w:rPr>
          <w:rtl w:val="0"/>
        </w:rPr>
        <w:t> </w:t>
      </w:r>
      <w:r>
        <w:rPr>
          <w:rtl w:val="0"/>
        </w:rPr>
        <w:t>are children aged 0</w:t>
      </w:r>
      <w:r>
        <w:rPr>
          <w:rtl w:val="0"/>
        </w:rPr>
        <w:t>–</w:t>
      </w:r>
      <w:r>
        <w:rPr>
          <w:rtl w:val="0"/>
        </w:rPr>
        <w:t>4.</w:t>
      </w:r>
      <w:r>
        <w:rPr>
          <w:rtl w:val="0"/>
        </w:rPr>
        <w:t xml:space="preserve">There are </w:t>
      </w:r>
      <w:r>
        <w:rPr>
          <w:rtl w:val="0"/>
        </w:rPr>
        <w:t xml:space="preserve">a </w:t>
      </w:r>
      <w:r>
        <w:rPr>
          <w:rtl w:val="0"/>
        </w:rPr>
        <w:t xml:space="preserve">wide </w:t>
      </w:r>
      <w:r>
        <w:rPr>
          <w:rtl w:val="0"/>
        </w:rPr>
        <w:t>range of active community organisations. The village sits within its own National Scenic Area.</w:t>
      </w:r>
    </w:p>
    <w:p>
      <w:pPr>
        <w:pStyle w:val="Body"/>
      </w:pPr>
    </w:p>
    <w:p>
      <w:pPr>
        <w:pStyle w:val="Body"/>
      </w:pPr>
      <w:r>
        <w:rPr>
          <w:rtl w:val="0"/>
        </w:rPr>
        <w:t>Figures supplied by SIC Children</w:t>
      </w:r>
      <w:r>
        <w:rPr>
          <w:rtl w:val="1"/>
        </w:rPr>
        <w:t>’</w:t>
      </w:r>
      <w:r>
        <w:rPr>
          <w:rtl w:val="0"/>
        </w:rPr>
        <w:t xml:space="preserve">s Services in November 2024 show that Scalloway Primary School has 23 pupils on the Early Years roll and 146 pupils in primary education. During 2018/19, a total of 1,315 students were enrolled at the Shetland UHI (formerly NAFC Marine Centre) on short, part-time and full-time </w:t>
      </w:r>
      <w:r>
        <w:rPr>
          <w:rtl w:val="0"/>
        </w:rPr>
        <w:t>courses and the college is undergoing a merger with Shetland College UHI which favours the Scalloway campus</w:t>
      </w:r>
      <w:r>
        <w:rPr>
          <w:rtl w:val="0"/>
        </w:rPr>
        <w:t>.</w:t>
      </w:r>
    </w:p>
    <w:p>
      <w:pPr>
        <w:pStyle w:val="Body"/>
      </w:pPr>
    </w:p>
    <w:p>
      <w:pPr>
        <w:pStyle w:val="Body"/>
      </w:pPr>
      <w:r>
        <w:rPr>
          <w:rtl w:val="0"/>
        </w:rPr>
        <w:t>The settlement</w:t>
      </w:r>
      <w:r>
        <w:rPr>
          <w:rtl w:val="0"/>
        </w:rPr>
        <w:t xml:space="preserve"> features a busy port, heritage assets including Scalloway Castle and a Conservation Area</w:t>
      </w:r>
      <w:r>
        <w:rPr>
          <w:rtl w:val="0"/>
        </w:rPr>
        <w:t xml:space="preserve">. The port area serves as key infrastructure of the Shetland fishing industry and aquaculture with key side processing and support industries. It is also used by large oil-related shipping, operating west of Shetland. The Scalloway Museum adjacent to Scalloway Castle attracts over 20,000 visitors per year and tourist-related industry is a growth area in the village. </w:t>
      </w:r>
    </w:p>
    <w:p>
      <w:pPr>
        <w:pStyle w:val="Body"/>
        <w:rPr>
          <w:b w:val="1"/>
          <w:bCs w:val="1"/>
        </w:rPr>
      </w:pPr>
    </w:p>
    <w:p>
      <w:pPr>
        <w:pStyle w:val="Body"/>
      </w:pPr>
      <w:r>
        <w:rPr>
          <w:rtl w:val="0"/>
        </w:rPr>
        <w:t>Key issues identified through community consultation include traffic congestion, parking, vacant buildings, and limited housing development. The community has demonstrated strong engagement throughout this process, with over 600 participants involved in the Re-Create Scalloway programme</w:t>
      </w:r>
      <w:r>
        <w:rPr>
          <w:rtl w:val="0"/>
        </w:rPr>
        <w:t xml:space="preserve"> and more in subsequent engagement</w:t>
      </w:r>
      <w:r>
        <w:rPr>
          <w:rtl w:val="0"/>
        </w:rPr>
        <w:t>.</w:t>
      </w:r>
    </w:p>
    <w:p>
      <w:pPr>
        <w:pStyle w:val="Heading 2"/>
      </w:pPr>
      <w:r>
        <w:rPr>
          <w:rFonts w:ascii="Arial Unicode MS" w:cs="Arial Unicode MS" w:hAnsi="Arial Unicode MS" w:eastAsia="Arial Unicode MS"/>
          <w:b w:val="0"/>
          <w:bCs w:val="0"/>
          <w:i w:val="0"/>
          <w:iCs w:val="0"/>
          <w:outline w:val="0"/>
          <w:color w:val="000000"/>
          <w:u w:color="000000"/>
          <w14:textFill>
            <w14:solidFill>
              <w14:srgbClr w14:val="000000"/>
            </w14:solidFill>
          </w14:textFill>
        </w:rPr>
        <w:br w:type="page"/>
      </w:r>
    </w:p>
    <w:p>
      <w:pPr>
        <w:pStyle w:val="Heading"/>
        <w:rPr>
          <w:sz w:val="46"/>
          <w:szCs w:val="46"/>
        </w:rPr>
      </w:pPr>
      <w:r>
        <w:rPr>
          <w:sz w:val="46"/>
          <w:szCs w:val="46"/>
          <w:rtl w:val="0"/>
          <w:lang w:val="en-US"/>
        </w:rPr>
        <w:t>4. The Role of Scalloway Community Council</w:t>
      </w:r>
    </w:p>
    <w:p>
      <w:pPr>
        <w:pStyle w:val="Body"/>
      </w:pPr>
      <w:r>
        <w:rPr>
          <w:rtl w:val="0"/>
        </w:rPr>
        <w:t xml:space="preserve">Scalloway Community Council </w:t>
      </w:r>
      <w:r>
        <w:rPr>
          <w:rtl w:val="0"/>
        </w:rPr>
        <w:t xml:space="preserve">(SCC) </w:t>
      </w:r>
      <w:r>
        <w:rPr>
          <w:rtl w:val="0"/>
        </w:rPr>
        <w:t>strives to empower people, including those suffering disadvantage and inequality, to make Scalloway a better place to live, work, study and invest. Key to this is promoting active citizenship, equality and inclusiveness to help improve the quality of our community for present and future generations.</w:t>
      </w:r>
    </w:p>
    <w:p>
      <w:pPr>
        <w:pStyle w:val="Body"/>
      </w:pPr>
    </w:p>
    <w:p>
      <w:pPr>
        <w:pStyle w:val="Body"/>
      </w:pPr>
      <w:r>
        <w:rPr>
          <w:rtl w:val="0"/>
        </w:rPr>
        <w:t>The Community Council is</w:t>
      </w:r>
      <w:r>
        <w:rPr>
          <w:rtl w:val="0"/>
        </w:rPr>
        <w:t xml:space="preserve"> made up of 9 elected volunteers who work to express the views of our community to the local authority and other public bodies. We work collaboratively with other organisations to deliver our service and projects.</w:t>
      </w:r>
    </w:p>
    <w:p>
      <w:pPr>
        <w:pStyle w:val="Body"/>
      </w:pPr>
    </w:p>
    <w:p>
      <w:pPr>
        <w:pStyle w:val="Body"/>
      </w:pPr>
      <w:r>
        <w:rPr>
          <w:rtl w:val="0"/>
        </w:rPr>
        <w:t>Scalloway Community Council members are committed to ensuring that Scalloway continues to be an attractive place for people of all ages to live, work and visit. The community council are mindful at all times to uphold the essence of the National Scenic Area, and seek to assure that development or change within the Conservation Area is complementary and sympathetic to the existing style and heritage of the settlement.</w:t>
      </w:r>
    </w:p>
    <w:p>
      <w:pPr>
        <w:pStyle w:val="Body"/>
      </w:pPr>
    </w:p>
    <w:p>
      <w:pPr>
        <w:pStyle w:val="Body"/>
      </w:pPr>
      <w:r>
        <w:rPr>
          <w:rtl w:val="0"/>
        </w:rPr>
        <w:t>Scalloway Community Development Company</w:t>
      </w:r>
      <w:r>
        <w:rPr>
          <w:rtl w:val="0"/>
        </w:rPr>
        <w:t xml:space="preserve"> (SCDC) i</w:t>
      </w:r>
      <w:r>
        <w:rPr>
          <w:rtl w:val="0"/>
        </w:rPr>
        <w:t>s an independent charitable company limited by guarantee</w:t>
      </w:r>
      <w:r>
        <w:rPr>
          <w:rtl w:val="0"/>
        </w:rPr>
        <w:t xml:space="preserve"> works with a board made up of volunteers and aims to work in partnership with the Community Council and </w:t>
      </w:r>
      <w:r>
        <w:rPr>
          <w:rtl w:val="0"/>
        </w:rPr>
        <w:t>Shetland Islands Council to:</w:t>
      </w:r>
    </w:p>
    <w:p>
      <w:pPr>
        <w:pStyle w:val="Body"/>
        <w:rPr>
          <w:b w:val="1"/>
          <w:bCs w:val="1"/>
        </w:rPr>
      </w:pPr>
    </w:p>
    <w:p>
      <w:pPr>
        <w:pStyle w:val="Body"/>
        <w:numPr>
          <w:ilvl w:val="0"/>
          <w:numId w:val="2"/>
        </w:numPr>
      </w:pPr>
      <w:r>
        <w:rPr>
          <w:rtl w:val="0"/>
        </w:rPr>
        <w:t>Advance the wellbeing and development of the community</w:t>
      </w:r>
    </w:p>
    <w:p>
      <w:pPr>
        <w:pStyle w:val="Body"/>
        <w:numPr>
          <w:ilvl w:val="0"/>
          <w:numId w:val="2"/>
        </w:numPr>
      </w:pPr>
      <w:r>
        <w:rPr>
          <w:rtl w:val="0"/>
        </w:rPr>
        <w:t>Advance the enhancement and conservation of the local environment, culture and heritage</w:t>
      </w:r>
    </w:p>
    <w:p>
      <w:pPr>
        <w:pStyle w:val="Body"/>
        <w:numPr>
          <w:ilvl w:val="0"/>
          <w:numId w:val="2"/>
        </w:numPr>
      </w:pPr>
      <w:r>
        <w:rPr>
          <w:rtl w:val="0"/>
        </w:rPr>
        <w:t>Advance the education of the public in matters relevant to the community</w:t>
      </w:r>
      <w:r>
        <w:rPr>
          <w:rtl w:val="0"/>
        </w:rPr>
        <w:t>.</w:t>
      </w:r>
    </w:p>
    <w:p>
      <w:pPr>
        <w:pStyle w:val="List Paragraph"/>
        <w:spacing w:after="80"/>
      </w:pPr>
    </w:p>
    <w:p>
      <w:pPr>
        <w:pStyle w:val="List Paragraph"/>
        <w:spacing w:after="80"/>
      </w:pPr>
      <w:r>
        <w:rPr>
          <w:rFonts w:ascii="Arial" w:cs="Arial" w:hAnsi="Arial" w:eastAsia="Arial"/>
          <w:outline w:val="0"/>
          <w:color w:val="000000"/>
          <w:sz w:val="22"/>
          <w:szCs w:val="22"/>
          <w:u w:color="000000"/>
          <w14:textFill>
            <w14:solidFill>
              <w14:srgbClr w14:val="000000"/>
            </w14:solidFill>
          </w14:textFill>
        </w:rPr>
        <w:drawing xmlns:a="http://schemas.openxmlformats.org/drawingml/2006/main">
          <wp:inline distT="0" distB="0" distL="0" distR="0">
            <wp:extent cx="6045073" cy="2139583"/>
            <wp:effectExtent l="0" t="0" r="0" b="0"/>
            <wp:docPr id="1073741834" name="officeArt object" descr="page7image239152.jpg"/>
            <wp:cNvGraphicFramePr/>
            <a:graphic xmlns:a="http://schemas.openxmlformats.org/drawingml/2006/main">
              <a:graphicData uri="http://schemas.openxmlformats.org/drawingml/2006/picture">
                <pic:pic xmlns:pic="http://schemas.openxmlformats.org/drawingml/2006/picture">
                  <pic:nvPicPr>
                    <pic:cNvPr id="1073741834" name="page7image239152.jpg" descr="page7image239152.jpg"/>
                    <pic:cNvPicPr>
                      <a:picLocks noChangeAspect="1"/>
                    </pic:cNvPicPr>
                  </pic:nvPicPr>
                  <pic:blipFill>
                    <a:blip r:embed="rId10">
                      <a:extLst/>
                    </a:blip>
                    <a:stretch>
                      <a:fillRect/>
                    </a:stretch>
                  </pic:blipFill>
                  <pic:spPr>
                    <a:xfrm>
                      <a:off x="0" y="0"/>
                      <a:ext cx="6045073" cy="2139583"/>
                    </a:xfrm>
                    <a:prstGeom prst="rect">
                      <a:avLst/>
                    </a:prstGeom>
                    <a:ln w="25400" cap="flat">
                      <a:solidFill>
                        <a:srgbClr val="F3F7F5"/>
                      </a:solidFill>
                      <a:prstDash val="solid"/>
                      <a:miter lim="400000"/>
                    </a:ln>
                    <a:effectLst>
                      <a:outerShdw sx="100000" sy="100000" kx="0" ky="0" algn="b" rotWithShape="0" blurRad="50800" dist="25400" dir="3600000">
                        <a:srgbClr val="000000">
                          <a:alpha val="70000"/>
                        </a:srgbClr>
                      </a:outerShdw>
                    </a:effectLst>
                  </pic:spPr>
                </pic:pic>
              </a:graphicData>
            </a:graphic>
          </wp:inline>
        </w:drawing>
      </w:r>
    </w:p>
    <w:p>
      <w:pPr>
        <w:pStyle w:val="List Paragraph"/>
        <w:spacing w:after="80"/>
      </w:pPr>
      <w:r>
        <w:rPr>
          <w:rFonts w:ascii="Arial Unicode MS" w:cs="Arial Unicode MS" w:hAnsi="Arial Unicode MS" w:eastAsia="Arial Unicode MS"/>
          <w:b w:val="0"/>
          <w:bCs w:val="0"/>
          <w:i w:val="0"/>
          <w:iCs w:val="0"/>
        </w:rPr>
        <w:br w:type="page"/>
      </w:r>
    </w:p>
    <w:p>
      <w:pPr>
        <w:pStyle w:val="Heading"/>
      </w:pPr>
      <w:r>
        <w:rPr>
          <w:rtl w:val="0"/>
        </w:rPr>
        <w:t>5. The Background to Re-Create Scalloway</w:t>
      </w:r>
    </w:p>
    <w:p>
      <w:pPr>
        <w:pStyle w:val="Body"/>
      </w:pPr>
      <w:r>
        <w:rPr>
          <w:outline w:val="0"/>
          <w:color w:val="000000"/>
          <w:sz w:val="22"/>
          <w:szCs w:val="22"/>
          <w:u w:color="000000"/>
          <w:rtl w:val="0"/>
          <w:lang w:val="en-US"/>
          <w14:textFill>
            <w14:solidFill>
              <w14:srgbClr w14:val="000000"/>
            </w14:solidFill>
          </w14:textFill>
        </w:rPr>
        <w:t>To get to where we are now has taken a lot of hard work and commitment. Most importantly, it has been dependent on the Scalloway community engaging about the future of their village. Below are some of the key milestones that have led to the production of the Scalloway Local Place Plan.</w:t>
      </w:r>
    </w:p>
    <w:p>
      <w:pPr>
        <w:pStyle w:val="Body"/>
      </w:pPr>
      <w:r>
        <w:rPr>
          <w:outline w:val="0"/>
          <w:color w:val="444444"/>
          <w:u w:color="444444"/>
          <w:rtl w:val="0"/>
          <w:lang w:val="en-US"/>
          <w14:textFill>
            <w14:solidFill>
              <w14:srgbClr w14:val="444444"/>
            </w14:solidFill>
          </w14:textFill>
        </w:rPr>
        <w:t xml:space="preserve">Making Places Funding Application </w:t>
      </w:r>
      <w:r>
        <w:rPr>
          <w:outline w:val="0"/>
          <w:color w:val="444444"/>
          <w:u w:color="444444"/>
          <w:rtl w:val="0"/>
          <w:lang w:val="fr-FR"/>
          <w14:textFill>
            <w14:solidFill>
              <w14:srgbClr w14:val="444444"/>
            </w14:solidFill>
          </w14:textFill>
        </w:rPr>
        <w:t xml:space="preserve">– </w:t>
      </w:r>
      <w:r>
        <w:rPr>
          <w:outline w:val="0"/>
          <w:color w:val="444444"/>
          <w:u w:color="444444"/>
          <w:rtl w:val="0"/>
          <w:lang w:val="en-US"/>
          <w14:textFill>
            <w14:solidFill>
              <w14:srgbClr w14:val="444444"/>
            </w14:solidFill>
          </w14:textFill>
        </w:rPr>
        <w:t>October 2017</w:t>
      </w:r>
    </w:p>
    <w:p>
      <w:pPr>
        <w:pStyle w:val="Body"/>
      </w:pPr>
      <w:r>
        <w:rPr>
          <w:outline w:val="0"/>
          <w:color w:val="000000"/>
          <w:sz w:val="22"/>
          <w:szCs w:val="22"/>
          <w:u w:color="000000"/>
          <w:rtl w:val="0"/>
          <w:lang w:val="en-US"/>
          <w14:textFill>
            <w14:solidFill>
              <w14:srgbClr w14:val="000000"/>
            </w14:solidFill>
          </w14:textFill>
        </w:rPr>
        <w:t>In October 2017, following discussions with Scalloway residents, business owners and Scalloway Community Council, Shetland Islands Council Planning and Community Planning &amp; Development Services applied for funding to the Scottish Government</w:t>
      </w:r>
      <w:r>
        <w:rPr>
          <w:rFonts w:ascii="Arial Unicode MS" w:hAnsi="Arial Unicode MS" w:hint="default"/>
          <w:outline w:val="0"/>
          <w:color w:val="000000"/>
          <w:sz w:val="22"/>
          <w:szCs w:val="22"/>
          <w:u w:color="000000"/>
          <w:rtl w:val="0"/>
          <w:lang w:val="fr-FR"/>
          <w14:textFill>
            <w14:solidFill>
              <w14:srgbClr w14:val="000000"/>
            </w14:solidFill>
          </w14:textFill>
        </w:rPr>
        <w:t>’</w:t>
      </w:r>
      <w:r>
        <w:rPr>
          <w:outline w:val="0"/>
          <w:color w:val="000000"/>
          <w:sz w:val="22"/>
          <w:szCs w:val="22"/>
          <w:u w:color="000000"/>
          <w:rtl w:val="0"/>
          <w:lang w:val="en-US"/>
          <w14:textFill>
            <w14:solidFill>
              <w14:srgbClr w14:val="000000"/>
            </w14:solidFill>
          </w14:textFill>
        </w:rPr>
        <w:t>s Making Places Initiative. The intention was to develop a future vision for Scalloway through community workshops and events, with outcomes used to support the Council</w:t>
      </w:r>
      <w:r>
        <w:rPr>
          <w:rFonts w:ascii="Arial Unicode MS" w:hAnsi="Arial Unicode MS" w:hint="default"/>
          <w:outline w:val="0"/>
          <w:color w:val="000000"/>
          <w:sz w:val="22"/>
          <w:szCs w:val="22"/>
          <w:u w:color="000000"/>
          <w:rtl w:val="0"/>
          <w:lang w:val="fr-FR"/>
          <w14:textFill>
            <w14:solidFill>
              <w14:srgbClr w14:val="000000"/>
            </w14:solidFill>
          </w14:textFill>
        </w:rPr>
        <w:t>’</w:t>
      </w:r>
      <w:r>
        <w:rPr>
          <w:outline w:val="0"/>
          <w:color w:val="000000"/>
          <w:sz w:val="22"/>
          <w:szCs w:val="22"/>
          <w:u w:color="000000"/>
          <w:rtl w:val="0"/>
          <w:lang w:val="en-US"/>
          <w14:textFill>
            <w14:solidFill>
              <w14:srgbClr w14:val="000000"/>
            </w14:solidFill>
          </w14:textFill>
        </w:rPr>
        <w:t>s planning and community planning processes.</w:t>
      </w:r>
    </w:p>
    <w:p>
      <w:pPr>
        <w:pStyle w:val="Body"/>
        <w:rPr>
          <w:outline w:val="0"/>
          <w:color w:val="000000"/>
          <w:sz w:val="22"/>
          <w:szCs w:val="22"/>
          <w:u w:color="000000"/>
          <w14:textFill>
            <w14:solidFill>
              <w14:srgbClr w14:val="000000"/>
            </w14:solidFill>
          </w14:textFill>
        </w:rPr>
      </w:pPr>
      <w:r>
        <w:rPr>
          <w:outline w:val="0"/>
          <w:color w:val="000000"/>
          <w:sz w:val="22"/>
          <w:szCs w:val="22"/>
          <w:u w:color="000000"/>
          <w:rtl w:val="0"/>
          <w:lang w:val="en-US"/>
          <w14:textFill>
            <w14:solidFill>
              <w14:srgbClr w14:val="000000"/>
            </w14:solidFill>
          </w14:textFill>
        </w:rPr>
        <w:t xml:space="preserve">The Place Standard consultation (summer 2016) informed the application. Its top four priority areas for Scalloway </w:t>
      </w:r>
      <w:r>
        <w:rPr>
          <w:outline w:val="0"/>
          <w:color w:val="000000"/>
          <w:sz w:val="22"/>
          <w:szCs w:val="22"/>
          <w:u w:color="000000"/>
          <w:rtl w:val="0"/>
          <w:lang w:val="fr-FR"/>
          <w14:textFill>
            <w14:solidFill>
              <w14:srgbClr w14:val="000000"/>
            </w14:solidFill>
          </w14:textFill>
        </w:rPr>
        <w:t xml:space="preserve">– </w:t>
      </w:r>
      <w:r>
        <w:rPr>
          <w:outline w:val="0"/>
          <w:color w:val="000000"/>
          <w:sz w:val="22"/>
          <w:szCs w:val="22"/>
          <w:u w:color="000000"/>
          <w:rtl w:val="0"/>
          <w:lang w:val="en-US"/>
          <w14:textFill>
            <w14:solidFill>
              <w14:srgbClr w14:val="000000"/>
            </w14:solidFill>
          </w14:textFill>
        </w:rPr>
        <w:t xml:space="preserve">work and local economy, traffic and parking, facilities and amenities, and housing and community </w:t>
      </w:r>
      <w:r>
        <w:rPr>
          <w:outline w:val="0"/>
          <w:color w:val="000000"/>
          <w:sz w:val="22"/>
          <w:szCs w:val="22"/>
          <w:u w:color="000000"/>
          <w:rtl w:val="0"/>
          <w:lang w:val="fr-FR"/>
          <w14:textFill>
            <w14:solidFill>
              <w14:srgbClr w14:val="000000"/>
            </w14:solidFill>
          </w14:textFill>
        </w:rPr>
        <w:t xml:space="preserve">– </w:t>
      </w:r>
      <w:r>
        <w:rPr>
          <w:outline w:val="0"/>
          <w:color w:val="000000"/>
          <w:sz w:val="22"/>
          <w:szCs w:val="22"/>
          <w:u w:color="000000"/>
          <w:rtl w:val="0"/>
          <w:lang w:val="en-US"/>
          <w14:textFill>
            <w14:solidFill>
              <w14:srgbClr w14:val="000000"/>
            </w14:solidFill>
          </w14:textFill>
        </w:rPr>
        <w:t>formed the starting point for community engagement.</w:t>
      </w:r>
    </w:p>
    <w:p>
      <w:pPr>
        <w:pStyle w:val="Heading 3"/>
      </w:pPr>
    </w:p>
    <w:p>
      <w:pPr>
        <w:pStyle w:val="Heading 3"/>
      </w:pPr>
      <w:r>
        <w:rPr>
          <w:outline w:val="0"/>
          <w:color w:val="000000"/>
          <w:u w:color="000000"/>
          <w14:textFill>
            <w14:solidFill>
              <w14:srgbClr w14:val="000000"/>
            </w14:solidFill>
          </w14:textFill>
        </w:rPr>
        <w:drawing xmlns:a="http://schemas.openxmlformats.org/drawingml/2006/main">
          <wp:inline distT="0" distB="0" distL="0" distR="0">
            <wp:extent cx="4368800" cy="2578100"/>
            <wp:effectExtent l="0" t="0" r="0" b="0"/>
            <wp:docPr id="1073741835" name="officeArt object" descr="page8image734000.jpg"/>
            <wp:cNvGraphicFramePr/>
            <a:graphic xmlns:a="http://schemas.openxmlformats.org/drawingml/2006/main">
              <a:graphicData uri="http://schemas.openxmlformats.org/drawingml/2006/picture">
                <pic:pic xmlns:pic="http://schemas.openxmlformats.org/drawingml/2006/picture">
                  <pic:nvPicPr>
                    <pic:cNvPr id="1073741835" name="page8image734000.jpg" descr="page8image734000.jpg"/>
                    <pic:cNvPicPr>
                      <a:picLocks noChangeAspect="1"/>
                    </pic:cNvPicPr>
                  </pic:nvPicPr>
                  <pic:blipFill>
                    <a:blip r:embed="rId11">
                      <a:extLst/>
                    </a:blip>
                    <a:stretch>
                      <a:fillRect/>
                    </a:stretch>
                  </pic:blipFill>
                  <pic:spPr>
                    <a:xfrm>
                      <a:off x="0" y="0"/>
                      <a:ext cx="4368800" cy="2578100"/>
                    </a:xfrm>
                    <a:prstGeom prst="rect">
                      <a:avLst/>
                    </a:prstGeom>
                    <a:ln w="25400" cap="flat">
                      <a:solidFill>
                        <a:srgbClr val="F3F7F5"/>
                      </a:solidFill>
                      <a:prstDash val="solid"/>
                      <a:miter lim="400000"/>
                    </a:ln>
                    <a:effectLst>
                      <a:outerShdw sx="100000" sy="100000" kx="0" ky="0" algn="b" rotWithShape="0" blurRad="50800" dist="25400" dir="3600000">
                        <a:srgbClr val="000000">
                          <a:alpha val="70000"/>
                        </a:srgbClr>
                      </a:outerShdw>
                    </a:effectLst>
                  </pic:spPr>
                </pic:pic>
              </a:graphicData>
            </a:graphic>
          </wp:inline>
        </w:drawing>
      </w:r>
    </w:p>
    <w:p>
      <w:pPr>
        <w:pStyle w:val="Heading 3"/>
      </w:pPr>
      <w:r>
        <w:rPr>
          <w:rtl w:val="0"/>
        </w:rPr>
        <w:t xml:space="preserve">Funding Awarded </w:t>
      </w:r>
      <w:r>
        <w:rPr>
          <w:rtl w:val="0"/>
        </w:rPr>
        <w:t xml:space="preserve">– </w:t>
      </w:r>
      <w:r>
        <w:rPr>
          <w:rtl w:val="0"/>
        </w:rPr>
        <w:t>January 2018</w:t>
      </w:r>
    </w:p>
    <w:p>
      <w:pPr>
        <w:pStyle w:val="Body"/>
      </w:pPr>
      <w:r>
        <w:rPr>
          <w:outline w:val="0"/>
          <w:color w:val="000000"/>
          <w:sz w:val="22"/>
          <w:szCs w:val="22"/>
          <w:u w:color="000000"/>
          <w:rtl w:val="0"/>
          <w:lang w:val="en-US"/>
          <w14:textFill>
            <w14:solidFill>
              <w14:srgbClr w14:val="000000"/>
            </w14:solidFill>
          </w14:textFill>
        </w:rPr>
        <w:t>In January 2018, funding was secured to take forward a future vision for Scalloway. A Working Group was established consisting of all members of Scalloway Community Council, community representatives, and staff from the Council</w:t>
      </w:r>
      <w:r>
        <w:rPr>
          <w:rFonts w:ascii="Arial Unicode MS" w:hAnsi="Arial Unicode MS" w:hint="default"/>
          <w:outline w:val="0"/>
          <w:color w:val="000000"/>
          <w:sz w:val="22"/>
          <w:szCs w:val="22"/>
          <w:u w:color="000000"/>
          <w:rtl w:val="0"/>
          <w:lang w:val="fr-FR"/>
          <w14:textFill>
            <w14:solidFill>
              <w14:srgbClr w14:val="000000"/>
            </w14:solidFill>
          </w14:textFill>
        </w:rPr>
        <w:t>’</w:t>
      </w:r>
      <w:r>
        <w:rPr>
          <w:outline w:val="0"/>
          <w:color w:val="000000"/>
          <w:sz w:val="22"/>
          <w:szCs w:val="22"/>
          <w:u w:color="000000"/>
          <w:rtl w:val="0"/>
          <w:lang w:val="en-US"/>
          <w14:textFill>
            <w14:solidFill>
              <w14:srgbClr w14:val="000000"/>
            </w14:solidFill>
          </w14:textFill>
        </w:rPr>
        <w:t>s Planning and Community Planning &amp; Development Services.</w:t>
      </w:r>
    </w:p>
    <w:p>
      <w:pPr>
        <w:pStyle w:val="Heading 3"/>
      </w:pPr>
      <w:r>
        <w:rPr>
          <w:rtl w:val="0"/>
        </w:rPr>
        <w:t xml:space="preserve">Consultants Appointed </w:t>
      </w:r>
      <w:r>
        <w:rPr>
          <w:rtl w:val="0"/>
        </w:rPr>
        <w:t xml:space="preserve">– </w:t>
      </w:r>
      <w:r>
        <w:rPr>
          <w:rtl w:val="0"/>
        </w:rPr>
        <w:t>March 2018</w:t>
      </w:r>
    </w:p>
    <w:p>
      <w:pPr>
        <w:pStyle w:val="Body"/>
      </w:pPr>
      <w:r>
        <w:rPr>
          <w:outline w:val="0"/>
          <w:color w:val="000000"/>
          <w:sz w:val="22"/>
          <w:szCs w:val="22"/>
          <w:u w:color="000000"/>
          <w:rtl w:val="0"/>
          <w:lang w:val="en-US"/>
          <w14:textFill>
            <w14:solidFill>
              <w14:srgbClr w14:val="000000"/>
            </w14:solidFill>
          </w14:textFill>
        </w:rPr>
        <w:t xml:space="preserve">Following a tender process, planning and design consultants GL Hearn and Iglu Studio were appointed to deliver the engagement events and draft the spatial vision and action plan. A competition at Scalloway Youth Centre resulted in the name </w:t>
      </w:r>
      <w:r>
        <w:rPr>
          <w:rFonts w:ascii="Arial Unicode MS" w:hAnsi="Arial Unicode MS" w:hint="default"/>
          <w:outline w:val="0"/>
          <w:color w:val="000000"/>
          <w:sz w:val="22"/>
          <w:szCs w:val="22"/>
          <w:u w:color="000000"/>
          <w:rtl w:val="0"/>
          <w:lang w:val="fr-FR"/>
          <w14:textFill>
            <w14:solidFill>
              <w14:srgbClr w14:val="000000"/>
            </w14:solidFill>
          </w14:textFill>
        </w:rPr>
        <w:t>‘</w:t>
      </w:r>
      <w:r>
        <w:rPr>
          <w:outline w:val="0"/>
          <w:color w:val="000000"/>
          <w:sz w:val="22"/>
          <w:szCs w:val="22"/>
          <w:u w:color="000000"/>
          <w:rtl w:val="0"/>
          <w:lang w:val="en-US"/>
          <w14:textFill>
            <w14:solidFill>
              <w14:srgbClr w14:val="000000"/>
            </w14:solidFill>
          </w14:textFill>
        </w:rPr>
        <w:t>Re-Create Scalloway</w:t>
      </w:r>
      <w:r>
        <w:rPr>
          <w:rFonts w:ascii="Arial Unicode MS" w:hAnsi="Arial Unicode MS" w:hint="default"/>
          <w:outline w:val="0"/>
          <w:color w:val="000000"/>
          <w:sz w:val="22"/>
          <w:szCs w:val="22"/>
          <w:u w:color="000000"/>
          <w:rtl w:val="0"/>
          <w:lang w:val="fr-FR"/>
          <w14:textFill>
            <w14:solidFill>
              <w14:srgbClr w14:val="000000"/>
            </w14:solidFill>
          </w14:textFill>
        </w:rPr>
        <w:t xml:space="preserve">’ </w:t>
      </w:r>
      <w:r>
        <w:rPr>
          <w:outline w:val="0"/>
          <w:color w:val="000000"/>
          <w:sz w:val="22"/>
          <w:szCs w:val="22"/>
          <w:u w:color="000000"/>
          <w:rtl w:val="0"/>
          <w:lang w:val="en-US"/>
          <w14:textFill>
            <w14:solidFill>
              <w14:srgbClr w14:val="000000"/>
            </w14:solidFill>
          </w14:textFill>
        </w:rPr>
        <w:t>being chosen by young people.</w:t>
      </w:r>
    </w:p>
    <w:p>
      <w:pPr>
        <w:pStyle w:val="Heading 3"/>
      </w:pPr>
    </w:p>
    <w:p>
      <w:pPr>
        <w:pStyle w:val="Heading 3"/>
      </w:pPr>
    </w:p>
    <w:p>
      <w:pPr>
        <w:pStyle w:val="Heading 3"/>
      </w:pPr>
      <w:r>
        <w:rPr>
          <w:rtl w:val="0"/>
        </w:rPr>
        <w:t xml:space="preserve">Engagement Events and Workshops </w:t>
      </w:r>
      <w:r>
        <w:rPr>
          <w:rtl w:val="0"/>
        </w:rPr>
        <w:t xml:space="preserve">– </w:t>
      </w:r>
      <w:r>
        <w:rPr>
          <w:rtl w:val="0"/>
        </w:rPr>
        <w:t>May, June &amp; November 2018</w:t>
      </w:r>
    </w:p>
    <w:p>
      <w:pPr>
        <w:pStyle w:val="Body"/>
      </w:pPr>
      <w:r>
        <w:rPr>
          <w:outline w:val="0"/>
          <w:color w:val="000000"/>
          <w:sz w:val="22"/>
          <w:szCs w:val="22"/>
          <w:u w:color="000000"/>
          <w:rtl w:val="0"/>
          <w:lang w:val="en-US"/>
          <w14:textFill>
            <w14:solidFill>
              <w14:srgbClr w14:val="000000"/>
            </w14:solidFill>
          </w14:textFill>
        </w:rPr>
        <w:t>The first event was held in May 2018 when initial ideas for improvements were put forward by the community. In June 2018 these were developed further, and a follow-up event was held in November 2018 when the public voted on the priorities to take forward into the Spatial Vision and Action Plan.</w:t>
      </w:r>
    </w:p>
    <w:p>
      <w:pPr>
        <w:pStyle w:val="Heading 3"/>
      </w:pPr>
      <w:r>
        <w:rPr>
          <w:rtl w:val="0"/>
        </w:rPr>
        <w:t xml:space="preserve">The Outcomes </w:t>
      </w:r>
      <w:r>
        <w:rPr>
          <w:rtl w:val="0"/>
        </w:rPr>
        <w:t xml:space="preserve">– </w:t>
      </w:r>
      <w:r>
        <w:rPr>
          <w:rtl w:val="0"/>
        </w:rPr>
        <w:t>May 2019</w:t>
      </w:r>
    </w:p>
    <w:p>
      <w:pPr>
        <w:pStyle w:val="Body"/>
        <w:rPr>
          <w:outline w:val="0"/>
          <w:color w:val="000000"/>
          <w:sz w:val="22"/>
          <w:szCs w:val="22"/>
          <w:u w:color="000000"/>
          <w:lang w:val="en-US"/>
          <w14:textFill>
            <w14:solidFill>
              <w14:srgbClr w14:val="000000"/>
            </w14:solidFill>
          </w14:textFill>
        </w:rPr>
      </w:pPr>
      <w:r>
        <w:rPr>
          <w:outline w:val="0"/>
          <w:color w:val="000000"/>
          <w:sz w:val="22"/>
          <w:szCs w:val="22"/>
          <w:u w:color="000000"/>
          <w:rtl w:val="0"/>
          <w:lang w:val="en-US"/>
          <w14:textFill>
            <w14:solidFill>
              <w14:srgbClr w14:val="000000"/>
            </w14:solidFill>
          </w14:textFill>
        </w:rPr>
        <w:t>In May 2019 the consultants finalised the Spatial Vision and Action Plan, which were published on the Council</w:t>
      </w:r>
      <w:r>
        <w:rPr>
          <w:rFonts w:ascii="Arial Unicode MS" w:hAnsi="Arial Unicode MS" w:hint="default"/>
          <w:outline w:val="0"/>
          <w:color w:val="000000"/>
          <w:sz w:val="22"/>
          <w:szCs w:val="22"/>
          <w:u w:color="000000"/>
          <w:rtl w:val="0"/>
          <w:lang w:val="fr-FR"/>
          <w14:textFill>
            <w14:solidFill>
              <w14:srgbClr w14:val="000000"/>
            </w14:solidFill>
          </w14:textFill>
        </w:rPr>
        <w:t>’</w:t>
      </w:r>
      <w:r>
        <w:rPr>
          <w:outline w:val="0"/>
          <w:color w:val="000000"/>
          <w:sz w:val="22"/>
          <w:szCs w:val="22"/>
          <w:u w:color="000000"/>
          <w:rtl w:val="0"/>
          <w:lang w:val="en-US"/>
          <w14:textFill>
            <w14:solidFill>
              <w14:srgbClr w14:val="000000"/>
            </w14:solidFill>
          </w14:textFill>
        </w:rPr>
        <w:t>s planning website. On 23 June 2019 a public drop-in session was held at Scalloway Youth Centre to present the outcomes and outline next steps, including the drafting of the Local Place Plan.</w:t>
      </w:r>
    </w:p>
    <w:p>
      <w:pPr>
        <w:pStyle w:val="Heading 3"/>
      </w:pPr>
      <w:r>
        <w:rPr>
          <w:rtl w:val="0"/>
        </w:rPr>
        <w:t>Destination Scalloway - June 2021</w:t>
      </w:r>
    </w:p>
    <w:p>
      <w:pPr>
        <w:pStyle w:val="Body"/>
        <w:rPr>
          <w:outline w:val="0"/>
          <w:color w:val="000000"/>
          <w:sz w:val="22"/>
          <w:szCs w:val="22"/>
          <w:u w:color="000000"/>
          <w:lang w:val="en-US"/>
          <w14:textFill>
            <w14:solidFill>
              <w14:srgbClr w14:val="000000"/>
            </w14:solidFill>
          </w14:textFill>
        </w:rPr>
      </w:pPr>
      <w:r>
        <w:rPr>
          <w:outline w:val="0"/>
          <w:color w:val="000000"/>
          <w:sz w:val="22"/>
          <w:szCs w:val="22"/>
          <w:u w:color="000000"/>
          <w:rtl w:val="0"/>
          <w:lang w:val="en-US"/>
          <w14:textFill>
            <w14:solidFill>
              <w14:srgbClr w14:val="000000"/>
            </w14:solidFill>
          </w14:textFill>
        </w:rPr>
        <w:t xml:space="preserve">Following on from ReCreate Scalloway, consultants were appointed in June 2021 to further explore and take forward the priorities for improving the waterfront and town centre toward creating a masterplan for regenerating the area. The final report was produced in December 2022 entitled Destination Scalloway. </w:t>
      </w:r>
    </w:p>
    <w:p>
      <w:pPr>
        <w:pStyle w:val="Body"/>
        <w:rPr>
          <w:outline w:val="0"/>
          <w:color w:val="000000"/>
          <w:sz w:val="22"/>
          <w:szCs w:val="22"/>
          <w:u w:color="000000"/>
          <w:lang w:val="en-US"/>
          <w14:textFill>
            <w14:solidFill>
              <w14:srgbClr w14:val="000000"/>
            </w14:solidFill>
          </w14:textFill>
        </w:rPr>
      </w:pPr>
      <w:r>
        <w:rPr>
          <w:outline w:val="0"/>
          <w:color w:val="000000"/>
          <w:sz w:val="22"/>
          <w:szCs w:val="22"/>
          <w:u w:color="000000"/>
          <w:rtl w:val="0"/>
          <w:lang w:val="en-US"/>
          <w14:textFill>
            <w14:solidFill>
              <w14:srgbClr w14:val="000000"/>
            </w14:solidFill>
          </w14:textFill>
        </w:rPr>
        <w:t xml:space="preserve">At the same time several other priority projects were progressed, such as public realm improvements, creation of a new campsite at Asta and production of a series of interpretive board for a heritage trail around Scalloway. </w:t>
      </w:r>
    </w:p>
    <w:p>
      <w:pPr>
        <w:pStyle w:val="Heading 3"/>
      </w:pPr>
      <w:r>
        <w:rPr>
          <w:rtl w:val="0"/>
        </w:rPr>
        <w:t>Waterfront Design - May 2025</w:t>
      </w:r>
    </w:p>
    <w:p>
      <w:pPr>
        <w:pStyle w:val="Body"/>
        <w:rPr>
          <w:outline w:val="0"/>
          <w:color w:val="000000"/>
          <w:sz w:val="22"/>
          <w:szCs w:val="22"/>
          <w:u w:color="000000"/>
          <w:lang w:val="en-US"/>
          <w14:textFill>
            <w14:solidFill>
              <w14:srgbClr w14:val="000000"/>
            </w14:solidFill>
          </w14:textFill>
        </w:rPr>
      </w:pPr>
      <w:r>
        <w:rPr>
          <w:outline w:val="0"/>
          <w:color w:val="000000"/>
          <w:sz w:val="22"/>
          <w:szCs w:val="22"/>
          <w:u w:color="000000"/>
          <w:rtl w:val="0"/>
          <w:lang w:val="en-US"/>
          <w14:textFill>
            <w14:solidFill>
              <w14:srgbClr w14:val="000000"/>
            </w14:solidFill>
          </w14:textFill>
        </w:rPr>
        <w:t xml:space="preserve">Following the Destination Scalloway report a detailed design stage was activated in May 2025 with consultants subsequently appointed to draw up detailed designs, costed plans, seek the necessary consents and develop a business case for waterfront redevelopment. This moves the project toward the finding of funding for capital works and delivery on the ground. </w:t>
      </w:r>
    </w:p>
    <w:p>
      <w:pPr>
        <w:pStyle w:val="Body"/>
        <w:rPr>
          <w:outline w:val="0"/>
          <w:color w:val="000000"/>
          <w:sz w:val="22"/>
          <w:szCs w:val="22"/>
          <w:u w:color="000000"/>
          <w:lang w:val="en-US"/>
          <w14:textFill>
            <w14:solidFill>
              <w14:srgbClr w14:val="000000"/>
            </w14:solidFill>
          </w14:textFill>
        </w:rPr>
      </w:pPr>
      <w:r>
        <w:rPr>
          <w:outline w:val="0"/>
          <w:color w:val="000000"/>
          <w:sz w:val="22"/>
          <w:szCs w:val="22"/>
          <w:u w:color="000000"/>
          <w:rtl w:val="0"/>
          <w:lang w:val="en-US"/>
          <w14:textFill>
            <w14:solidFill>
              <w14:srgbClr w14:val="000000"/>
            </w14:solidFill>
          </w14:textFill>
        </w:rPr>
        <w:t>This detailed design work continues into September 2026 and nears completion.</w:t>
      </w:r>
      <w:r>
        <w:rPr>
          <w:outline w:val="0"/>
          <w:color w:val="000000"/>
          <w:sz w:val="22"/>
          <w:szCs w:val="22"/>
          <w:u w:color="000000"/>
          <w:lang w:val="en-US"/>
          <w14:textFill>
            <w14:solidFill>
              <w14:srgbClr w14:val="000000"/>
            </w14:solidFill>
          </w14:textFill>
        </w:rPr>
        <mc:AlternateContent>
          <mc:Choice Requires="wpg">
            <w:drawing xmlns:a="http://schemas.openxmlformats.org/drawingml/2006/main">
              <wp:anchor distT="152400" distB="152400" distL="152400" distR="152400" simplePos="0" relativeHeight="251665408" behindDoc="0" locked="0" layoutInCell="1" allowOverlap="1">
                <wp:simplePos x="0" y="0"/>
                <wp:positionH relativeFrom="margin">
                  <wp:posOffset>135386</wp:posOffset>
                </wp:positionH>
                <wp:positionV relativeFrom="line">
                  <wp:posOffset>286122</wp:posOffset>
                </wp:positionV>
                <wp:extent cx="5799827" cy="3679651"/>
                <wp:effectExtent l="0" t="0" r="0" b="0"/>
                <wp:wrapTopAndBottom distT="152400" distB="152400"/>
                <wp:docPr id="1073741838" name="officeArt object" descr="Image Gallery"/>
                <wp:cNvGraphicFramePr/>
                <a:graphic xmlns:a="http://schemas.openxmlformats.org/drawingml/2006/main">
                  <a:graphicData uri="http://schemas.microsoft.com/office/word/2010/wordprocessingGroup">
                    <wpg:wgp>
                      <wpg:cNvGrpSpPr/>
                      <wpg:grpSpPr>
                        <a:xfrm>
                          <a:off x="0" y="0"/>
                          <a:ext cx="5799827" cy="3679651"/>
                          <a:chOff x="0" y="0"/>
                          <a:chExt cx="5799826" cy="3679650"/>
                        </a:xfrm>
                      </wpg:grpSpPr>
                      <pic:pic xmlns:pic="http://schemas.openxmlformats.org/drawingml/2006/picture">
                        <pic:nvPicPr>
                          <pic:cNvPr id="1073741836" name="64129-00-001 - (S2-P01-DRAFT) - CONCEPT LAYOUT.pdf" descr="64129-00-001 - (S2-P01-DRAFT) - CONCEPT LAYOUT.pdf"/>
                          <pic:cNvPicPr>
                            <a:picLocks noChangeAspect="1"/>
                          </pic:cNvPicPr>
                        </pic:nvPicPr>
                        <pic:blipFill>
                          <a:blip r:embed="rId12">
                            <a:extLst/>
                          </a:blip>
                          <a:srcRect l="0" t="10152" r="0" b="10152"/>
                          <a:stretch>
                            <a:fillRect/>
                          </a:stretch>
                        </pic:blipFill>
                        <pic:spPr>
                          <a:xfrm>
                            <a:off x="0" y="0"/>
                            <a:ext cx="5799827" cy="3264971"/>
                          </a:xfrm>
                          <a:prstGeom prst="rect">
                            <a:avLst/>
                          </a:prstGeom>
                          <a:ln w="12700" cap="flat">
                            <a:noFill/>
                            <a:miter lim="400000"/>
                          </a:ln>
                          <a:effectLst/>
                        </pic:spPr>
                      </pic:pic>
                      <wps:wsp>
                        <wps:cNvPr id="1073741837" name="Scalloway Waterfront Design Draft 2026"/>
                        <wps:cNvSpPr/>
                        <wps:spPr>
                          <a:xfrm>
                            <a:off x="0" y="3341170"/>
                            <a:ext cx="5799827" cy="338481"/>
                          </a:xfrm>
                          <a:prstGeom prst="rect">
                            <a:avLst/>
                          </a:prstGeom>
                          <a:noFill/>
                          <a:ln w="12700" cap="flat">
                            <a:noFill/>
                            <a:miter lim="400000"/>
                          </a:ln>
                          <a:effectLst/>
                        </wps:spPr>
                        <wps:txbx>
                          <w:txbxContent>
                            <w:p>
                              <w:pPr>
                                <w:pStyle w:val="Object Caption"/>
                                <w:bidi w:val="0"/>
                              </w:pPr>
                              <w:r>
                                <w:rPr>
                                  <w:rtl w:val="0"/>
                                </w:rPr>
                                <w:t>Scalloway Waterfront Design Draft 2026</w:t>
                              </w:r>
                            </w:p>
                          </w:txbxContent>
                        </wps:txbx>
                        <wps:bodyPr wrap="square" lIns="76200" tIns="76200" rIns="76200" bIns="76200" numCol="1" anchor="t">
                          <a:noAutofit/>
                        </wps:bodyPr>
                      </wps:wsp>
                    </wpg:wgp>
                  </a:graphicData>
                </a:graphic>
              </wp:anchor>
            </w:drawing>
          </mc:Choice>
          <mc:Fallback>
            <w:pict>
              <v:group id="_x0000_s1026" style="visibility:visible;position:absolute;margin-left:10.7pt;margin-top:22.5pt;width:456.7pt;height:289.7pt;z-index:251665408;mso-position-horizontal:absolute;mso-position-horizontal-relative:margin;mso-position-vertical:absolute;mso-position-vertical-relative:line;mso-wrap-distance-left:12.0pt;mso-wrap-distance-top:12.0pt;mso-wrap-distance-right:12.0pt;mso-wrap-distance-bottom:12.0pt;" coordorigin="0,0" coordsize="5799826,3679650">
                <w10:wrap type="topAndBottom" side="bothSides" anchorx="margin"/>
                <v:shape id="_x0000_s1027" type="#_x0000_t75" style="position:absolute;left:0;top:0;width:5799826;height:3264971;">
                  <v:imagedata r:id="rId12" o:title="64129-00-001 - (S2-P01-DRAFT) - CONCEPT LAYOUT.png" croptop="10.2%" cropbottom="10.2%"/>
                </v:shape>
                <v:rect id="_x0000_s1028" style="position:absolute;left:0;top:3341171;width:5799826;height:338479;">
                  <v:fill on="f"/>
                  <v:stroke on="f" weight="1.0pt" dashstyle="solid" endcap="flat" miterlimit="400.0%" joinstyle="miter" linestyle="single" startarrow="none" startarrowwidth="medium" startarrowlength="medium" endarrow="none" endarrowwidth="medium" endarrowlength="medium"/>
                  <v:textbox>
                    <w:txbxContent>
                      <w:p>
                        <w:pPr>
                          <w:pStyle w:val="Object Caption"/>
                          <w:bidi w:val="0"/>
                        </w:pPr>
                        <w:r>
                          <w:rPr>
                            <w:rtl w:val="0"/>
                          </w:rPr>
                          <w:t>Scalloway Waterfront Design Draft 2026</w:t>
                        </w:r>
                      </w:p>
                    </w:txbxContent>
                  </v:textbox>
                </v:rect>
              </v:group>
            </w:pict>
          </mc:Fallback>
        </mc:AlternateContent>
      </w:r>
      <w:r>
        <w:rPr>
          <w:outline w:val="0"/>
          <w:color w:val="000000"/>
          <w:sz w:val="22"/>
          <w:szCs w:val="22"/>
          <w:u w:color="000000"/>
          <w:rtl w:val="0"/>
          <w:lang w:val="en-US"/>
          <w14:textFill>
            <w14:solidFill>
              <w14:srgbClr w14:val="000000"/>
            </w14:solidFill>
          </w14:textFill>
        </w:rPr>
        <w:t xml:space="preserve"> </w:t>
      </w:r>
    </w:p>
    <w:p>
      <w:pPr>
        <w:pStyle w:val="Heading"/>
      </w:pPr>
      <w:r>
        <w:rPr>
          <w:rtl w:val="0"/>
        </w:rPr>
        <w:t>6. Scalloway Today</w:t>
      </w:r>
      <w:r>
        <w:drawing xmlns:a="http://schemas.openxmlformats.org/drawingml/2006/main">
          <wp:anchor distT="152400" distB="152400" distL="152400" distR="152400" simplePos="0" relativeHeight="251661312" behindDoc="0" locked="0" layoutInCell="1" allowOverlap="1">
            <wp:simplePos x="0" y="0"/>
            <wp:positionH relativeFrom="page">
              <wp:posOffset>812799</wp:posOffset>
            </wp:positionH>
            <wp:positionV relativeFrom="line">
              <wp:posOffset>505615</wp:posOffset>
            </wp:positionV>
            <wp:extent cx="1336184" cy="1442407"/>
            <wp:effectExtent l="0" t="0" r="0" b="0"/>
            <wp:wrapThrough wrapText="bothSides" distL="152400" distR="152400">
              <wp:wrapPolygon edited="1">
                <wp:start x="-205" y="-190"/>
                <wp:lineTo x="-205" y="0"/>
                <wp:lineTo x="-205" y="21598"/>
                <wp:lineTo x="-205" y="21788"/>
                <wp:lineTo x="0" y="21788"/>
                <wp:lineTo x="21602" y="21788"/>
                <wp:lineTo x="21807" y="21788"/>
                <wp:lineTo x="21807" y="21598"/>
                <wp:lineTo x="21807" y="0"/>
                <wp:lineTo x="21807" y="-190"/>
                <wp:lineTo x="21602" y="-190"/>
                <wp:lineTo x="0" y="-190"/>
                <wp:lineTo x="-205" y="-190"/>
              </wp:wrapPolygon>
            </wp:wrapThrough>
            <wp:docPr id="1073741839" name="officeArt object" descr="page10image944704.jpg"/>
            <wp:cNvGraphicFramePr/>
            <a:graphic xmlns:a="http://schemas.openxmlformats.org/drawingml/2006/main">
              <a:graphicData uri="http://schemas.openxmlformats.org/drawingml/2006/picture">
                <pic:pic xmlns:pic="http://schemas.openxmlformats.org/drawingml/2006/picture">
                  <pic:nvPicPr>
                    <pic:cNvPr id="1073741839" name="page10image944704.jpg" descr="page10image944704.jpg"/>
                    <pic:cNvPicPr>
                      <a:picLocks noChangeAspect="1"/>
                    </pic:cNvPicPr>
                  </pic:nvPicPr>
                  <pic:blipFill>
                    <a:blip r:embed="rId13">
                      <a:extLst/>
                    </a:blip>
                    <a:stretch>
                      <a:fillRect/>
                    </a:stretch>
                  </pic:blipFill>
                  <pic:spPr>
                    <a:xfrm>
                      <a:off x="0" y="0"/>
                      <a:ext cx="1336184" cy="1442407"/>
                    </a:xfrm>
                    <a:prstGeom prst="rect">
                      <a:avLst/>
                    </a:prstGeom>
                    <a:ln w="25400" cap="flat">
                      <a:solidFill>
                        <a:srgbClr val="F3F7F5"/>
                      </a:solidFill>
                      <a:prstDash val="solid"/>
                      <a:miter lim="400000"/>
                    </a:ln>
                    <a:effectLst>
                      <a:outerShdw sx="100000" sy="100000" kx="0" ky="0" algn="b" rotWithShape="0" blurRad="50800" dist="25400" dir="3600000">
                        <a:srgbClr val="000000">
                          <a:alpha val="70000"/>
                        </a:srgbClr>
                      </a:outerShdw>
                    </a:effectLst>
                  </pic:spPr>
                </pic:pic>
              </a:graphicData>
            </a:graphic>
          </wp:anchor>
        </w:drawing>
      </w:r>
    </w:p>
    <w:p>
      <w:pPr>
        <w:pStyle w:val="Body"/>
        <w:rPr>
          <w:outline w:val="0"/>
          <w:color w:val="000000"/>
          <w:sz w:val="22"/>
          <w:szCs w:val="22"/>
          <w:u w:color="000000"/>
          <w14:textFill>
            <w14:solidFill>
              <w14:srgbClr w14:val="000000"/>
            </w14:solidFill>
          </w14:textFill>
        </w:rPr>
      </w:pPr>
      <w:r>
        <w:rPr>
          <w:outline w:val="0"/>
          <w:color w:val="000000"/>
          <w:sz w:val="22"/>
          <w:szCs w:val="22"/>
          <w:u w:color="000000"/>
          <w:rtl w:val="0"/>
          <w:lang w:val="en-US"/>
          <w14:textFill>
            <w14:solidFill>
              <w14:srgbClr w14:val="000000"/>
            </w14:solidFill>
          </w14:textFill>
        </w:rPr>
        <w:t>Scalloway is an attractive and thriving village with good provision of amenities and facilities. This includes its busy port and harbour, shops and businesses, college, primary school, health centre, youth centre, public hall and club houses.</w:t>
      </w:r>
    </w:p>
    <w:p>
      <w:pPr>
        <w:pStyle w:val="Body"/>
      </w:pPr>
    </w:p>
    <w:p>
      <w:pPr>
        <w:pStyle w:val="Body"/>
        <w:rPr>
          <w:outline w:val="0"/>
          <w:color w:val="000000"/>
          <w:sz w:val="22"/>
          <w:szCs w:val="22"/>
          <w:u w:color="000000"/>
          <w14:textFill>
            <w14:solidFill>
              <w14:srgbClr w14:val="000000"/>
            </w14:solidFill>
          </w14:textFill>
        </w:rPr>
      </w:pPr>
      <w:r>
        <w:rPr>
          <w:rtl w:val="0"/>
        </w:rPr>
        <w:t xml:space="preserve">Scalloway </w:t>
      </w:r>
      <w:r>
        <w:rPr>
          <w:outline w:val="0"/>
          <w:color w:val="000000"/>
          <w:sz w:val="22"/>
          <w:szCs w:val="22"/>
          <w:u w:color="000000"/>
          <w:rtl w:val="0"/>
          <w:lang w:val="en-US"/>
          <w14:textFill>
            <w14:solidFill>
              <w14:srgbClr w14:val="000000"/>
            </w14:solidFill>
          </w14:textFill>
        </w:rPr>
        <w:t xml:space="preserve">has a rich history, with its Castle, Conservation Area and </w:t>
      </w:r>
      <w:r>
        <w:rPr>
          <w:outline w:val="0"/>
          <w:color w:val="000000"/>
          <w:sz w:val="22"/>
          <w:szCs w:val="22"/>
          <w:u w:color="000000"/>
          <w:rtl w:val="0"/>
          <w:lang w:val="en-US"/>
          <w14:textFill>
            <w14:solidFill>
              <w14:srgbClr w14:val="000000"/>
            </w14:solidFill>
          </w14:textFill>
        </w:rPr>
        <w:t>Scalloway M</w:t>
      </w:r>
      <w:r>
        <w:rPr>
          <w:outline w:val="0"/>
          <w:color w:val="000000"/>
          <w:sz w:val="22"/>
          <w:szCs w:val="22"/>
          <w:u w:color="000000"/>
          <w:rtl w:val="0"/>
          <w:lang w:val="en-US"/>
          <w14:textFill>
            <w14:solidFill>
              <w14:srgbClr w14:val="000000"/>
            </w14:solidFill>
          </w14:textFill>
        </w:rPr>
        <w:t xml:space="preserve">useum being key assets to the village, which attract visitors and tourists from near and far. Scalloway also has strongly developed cultural ties with Scandinavian countries, in particular Norway, with Scalloway acting as the base of the </w:t>
      </w:r>
      <w:r>
        <w:rPr>
          <w:outline w:val="0"/>
          <w:color w:val="000000"/>
          <w:sz w:val="22"/>
          <w:szCs w:val="22"/>
          <w:u w:color="000000"/>
          <w:rtl w:val="0"/>
          <w:lang w:val="en-US"/>
          <w14:textFill>
            <w14:solidFill>
              <w14:srgbClr w14:val="000000"/>
            </w14:solidFill>
          </w14:textFill>
        </w:rPr>
        <w:t xml:space="preserve">crucial </w:t>
      </w:r>
      <w:r>
        <w:rPr>
          <w:outline w:val="0"/>
          <w:color w:val="000000"/>
          <w:sz w:val="22"/>
          <w:szCs w:val="22"/>
          <w:u w:color="000000"/>
          <w:rtl w:val="0"/>
          <w:lang w:val="en-US"/>
          <w14:textFill>
            <w14:solidFill>
              <w14:srgbClr w14:val="000000"/>
            </w14:solidFill>
          </w14:textFill>
        </w:rPr>
        <w:t xml:space="preserve">Shetland Bus resistance </w:t>
      </w:r>
      <w:r>
        <w:rPr>
          <w:outline w:val="0"/>
          <w:color w:val="000000"/>
          <w:sz w:val="22"/>
          <w:szCs w:val="22"/>
          <w:u w:color="000000"/>
          <w:rtl w:val="0"/>
          <w:lang w:val="en-US"/>
          <w14:textFill>
            <w14:solidFill>
              <w14:srgbClr w14:val="000000"/>
            </w14:solidFill>
          </w14:textFill>
        </w:rPr>
        <w:t xml:space="preserve">and refugees rescue </w:t>
      </w:r>
      <w:r>
        <w:rPr>
          <w:outline w:val="0"/>
          <w:color w:val="000000"/>
          <w:sz w:val="22"/>
          <w:szCs w:val="22"/>
          <w:u w:color="000000"/>
          <w:rtl w:val="0"/>
          <w:lang w:val="fr-FR"/>
          <w14:textFill>
            <w14:solidFill>
              <w14:srgbClr w14:val="000000"/>
            </w14:solidFill>
          </w14:textFill>
        </w:rPr>
        <w:t xml:space="preserve">operations </w:t>
      </w:r>
      <w:r>
        <w:rPr>
          <w:outline w:val="0"/>
          <w:color w:val="000000"/>
          <w:sz w:val="22"/>
          <w:szCs w:val="22"/>
          <w:u w:color="000000"/>
          <w:rtl w:val="0"/>
          <w:lang w:val="en-US"/>
          <w14:textFill>
            <w14:solidFill>
              <w14:srgbClr w14:val="000000"/>
            </w14:solidFill>
          </w14:textFill>
        </w:rPr>
        <w:t xml:space="preserve">for Norway </w:t>
      </w:r>
      <w:r>
        <w:rPr>
          <w:outline w:val="0"/>
          <w:color w:val="000000"/>
          <w:sz w:val="22"/>
          <w:szCs w:val="22"/>
          <w:u w:color="000000"/>
          <w:rtl w:val="0"/>
          <w:lang w:val="en-US"/>
          <w14:textFill>
            <w14:solidFill>
              <w14:srgbClr w14:val="000000"/>
            </w14:solidFill>
          </w14:textFill>
        </w:rPr>
        <w:t>during World War II.</w:t>
      </w:r>
    </w:p>
    <w:p>
      <w:pPr>
        <w:pStyle w:val="Heading"/>
      </w:pPr>
      <w:r>
        <w:rPr>
          <w:outline w:val="0"/>
          <w:color w:val="000000"/>
          <w:sz w:val="22"/>
          <w:szCs w:val="22"/>
          <w:u w:color="000000"/>
          <w14:textFill>
            <w14:solidFill>
              <w14:srgbClr w14:val="000000"/>
            </w14:solidFill>
          </w14:textFill>
        </w:rPr>
        <w:drawing xmlns:a="http://schemas.openxmlformats.org/drawingml/2006/main">
          <wp:inline distT="0" distB="0" distL="0" distR="0">
            <wp:extent cx="6045073" cy="3397809"/>
            <wp:effectExtent l="0" t="0" r="0" b="0"/>
            <wp:docPr id="1073741840" name="officeArt object" descr="page10image946992.jpg"/>
            <wp:cNvGraphicFramePr/>
            <a:graphic xmlns:a="http://schemas.openxmlformats.org/drawingml/2006/main">
              <a:graphicData uri="http://schemas.openxmlformats.org/drawingml/2006/picture">
                <pic:pic xmlns:pic="http://schemas.openxmlformats.org/drawingml/2006/picture">
                  <pic:nvPicPr>
                    <pic:cNvPr id="1073741840" name="page10image946992.jpg" descr="page10image946992.jpg"/>
                    <pic:cNvPicPr>
                      <a:picLocks noChangeAspect="1"/>
                    </pic:cNvPicPr>
                  </pic:nvPicPr>
                  <pic:blipFill>
                    <a:blip r:embed="rId14">
                      <a:extLst/>
                    </a:blip>
                    <a:stretch>
                      <a:fillRect/>
                    </a:stretch>
                  </pic:blipFill>
                  <pic:spPr>
                    <a:xfrm>
                      <a:off x="0" y="0"/>
                      <a:ext cx="6045073" cy="3397809"/>
                    </a:xfrm>
                    <a:prstGeom prst="rect">
                      <a:avLst/>
                    </a:prstGeom>
                    <a:ln w="25400" cap="flat">
                      <a:solidFill>
                        <a:srgbClr val="F3F7F5"/>
                      </a:solidFill>
                      <a:prstDash val="solid"/>
                      <a:miter lim="400000"/>
                    </a:ln>
                    <a:effectLst>
                      <a:outerShdw sx="100000" sy="100000" kx="0" ky="0" algn="b" rotWithShape="0" blurRad="50800" dist="25400" dir="3600000">
                        <a:srgbClr val="000000">
                          <a:alpha val="70000"/>
                        </a:srgbClr>
                      </a:outerShdw>
                    </a:effectLst>
                  </pic:spPr>
                </pic:pic>
              </a:graphicData>
            </a:graphic>
          </wp:inline>
        </w:drawing>
      </w:r>
    </w:p>
    <w:p>
      <w:pPr>
        <w:pStyle w:val="Heading"/>
      </w:pPr>
    </w:p>
    <w:p>
      <w:pPr>
        <w:pStyle w:val="Heading 2"/>
      </w:pPr>
      <w:r>
        <w:rPr>
          <w:rtl w:val="0"/>
        </w:rPr>
        <w:t>Assets and Opportunities</w:t>
      </w:r>
    </w:p>
    <w:p>
      <w:pPr>
        <w:pStyle w:val="Body"/>
      </w:pPr>
      <w:r>
        <w:rPr>
          <w:outline w:val="0"/>
          <w:color w:val="000000"/>
          <w:sz w:val="22"/>
          <w:szCs w:val="22"/>
          <w:u w:color="000000"/>
          <w:rtl w:val="0"/>
          <w:lang w:val="en-US"/>
          <w14:textFill>
            <w14:solidFill>
              <w14:srgbClr w14:val="000000"/>
            </w14:solidFill>
          </w14:textFill>
        </w:rPr>
        <w:t>In the main core of the village, mostly along the waterfront, previous regeneration projects have resulted in an improved environment which has attracted new business. However, this has brought related issues of increased traffic, congestion and road safety along the village</w:t>
      </w:r>
      <w:r>
        <w:rPr>
          <w:rFonts w:ascii="Arial Unicode MS" w:hAnsi="Arial Unicode MS" w:hint="default"/>
          <w:outline w:val="0"/>
          <w:color w:val="000000"/>
          <w:sz w:val="22"/>
          <w:szCs w:val="22"/>
          <w:u w:color="000000"/>
          <w:rtl w:val="0"/>
          <w:lang w:val="fr-FR"/>
          <w14:textFill>
            <w14:solidFill>
              <w14:srgbClr w14:val="000000"/>
            </w14:solidFill>
          </w14:textFill>
        </w:rPr>
        <w:t>’</w:t>
      </w:r>
      <w:r>
        <w:rPr>
          <w:outline w:val="0"/>
          <w:color w:val="000000"/>
          <w:sz w:val="22"/>
          <w:szCs w:val="22"/>
          <w:u w:color="000000"/>
          <w:rtl w:val="0"/>
          <w:lang w:val="en-US"/>
          <w14:textFill>
            <w14:solidFill>
              <w14:srgbClr w14:val="000000"/>
            </w14:solidFill>
          </w14:textFill>
        </w:rPr>
        <w:t>s narrow streets. Parking and accessibility are now key issues to address.</w:t>
      </w:r>
    </w:p>
    <w:p>
      <w:pPr>
        <w:pStyle w:val="Body"/>
        <w:rPr>
          <w:outline w:val="0"/>
          <w:color w:val="000000"/>
          <w:sz w:val="22"/>
          <w:szCs w:val="22"/>
          <w:u w:color="000000"/>
          <w14:textFill>
            <w14:solidFill>
              <w14:srgbClr w14:val="000000"/>
            </w14:solidFill>
          </w14:textFill>
        </w:rPr>
      </w:pPr>
      <w:r>
        <w:rPr>
          <w:outline w:val="0"/>
          <w:color w:val="000000"/>
          <w:sz w:val="22"/>
          <w:szCs w:val="22"/>
          <w:u w:color="000000"/>
          <w:rtl w:val="0"/>
          <w:lang w:val="en-US"/>
          <w14:textFill>
            <w14:solidFill>
              <w14:srgbClr w14:val="000000"/>
            </w14:solidFill>
          </w14:textFill>
        </w:rPr>
        <w:t xml:space="preserve">The village also has a number of vacant and underused buildings and potential sites to redevelop and improve. The possibility of gaining land through coastal reclamation, along with the impacts of climate change on coastal protection from flooding, </w:t>
      </w:r>
      <w:r>
        <w:rPr>
          <w:outline w:val="0"/>
          <w:color w:val="000000"/>
          <w:sz w:val="22"/>
          <w:szCs w:val="22"/>
          <w:u w:color="000000"/>
          <w:rtl w:val="0"/>
          <w:lang w:val="en-US"/>
          <w14:textFill>
            <w14:solidFill>
              <w14:srgbClr w14:val="000000"/>
            </w14:solidFill>
          </w14:textFill>
        </w:rPr>
        <w:t xml:space="preserve">have also been </w:t>
      </w:r>
      <w:r>
        <w:rPr>
          <w:outline w:val="0"/>
          <w:color w:val="000000"/>
          <w:sz w:val="22"/>
          <w:szCs w:val="22"/>
          <w:u w:color="000000"/>
          <w:rtl w:val="0"/>
          <w:lang w:val="en-US"/>
          <w14:textFill>
            <w14:solidFill>
              <w14:srgbClr w14:val="000000"/>
            </w14:solidFill>
          </w14:textFill>
        </w:rPr>
        <w:t>considered.</w:t>
      </w:r>
    </w:p>
    <w:p>
      <w:pPr>
        <w:pStyle w:val="Heading 2"/>
        <w:rPr>
          <w:outline w:val="0"/>
          <w:color w:val="000000"/>
          <w:sz w:val="22"/>
          <w:szCs w:val="22"/>
          <w:u w:color="000000"/>
          <w14:textFill>
            <w14:solidFill>
              <w14:srgbClr w14:val="000000"/>
            </w14:solidFill>
          </w14:textFill>
        </w:rPr>
      </w:pPr>
    </w:p>
    <w:p>
      <w:pPr>
        <w:pStyle w:val="Heading 2"/>
        <w:rPr>
          <w:outline w:val="0"/>
          <w:color w:val="000000"/>
          <w:sz w:val="22"/>
          <w:szCs w:val="22"/>
          <w:u w:color="000000"/>
          <w14:textFill>
            <w14:solidFill>
              <w14:srgbClr w14:val="000000"/>
            </w14:solidFill>
          </w14:textFill>
        </w:rPr>
      </w:pPr>
    </w:p>
    <w:p>
      <w:pPr>
        <w:pStyle w:val="Heading 2"/>
      </w:pPr>
      <w:r>
        <w:rPr>
          <w:rtl w:val="0"/>
        </w:rPr>
        <w:t>Housing</w:t>
      </w:r>
    </w:p>
    <w:p>
      <w:pPr>
        <w:pStyle w:val="Body"/>
      </w:pPr>
      <w:r>
        <w:rPr>
          <w:outline w:val="0"/>
          <w:color w:val="000000"/>
          <w:sz w:val="22"/>
          <w:szCs w:val="22"/>
          <w:u w:color="000000"/>
          <w:rtl w:val="0"/>
          <w:lang w:val="en-US"/>
          <w14:textFill>
            <w14:solidFill>
              <w14:srgbClr w14:val="000000"/>
            </w14:solidFill>
          </w14:textFill>
        </w:rPr>
        <w:t>With regard to housing, there has been little expansion within the central parts of the village as no development sites were promoted or identified in the current Local Development Plan (adopted 2014). In the last 20 years, approximately 88 dwellings have been completed in Scalloway. The majority came from large developments at East Voe of Scalloway (22 units, 2008/2009) and Upper Scalloway (32 units, 2023).</w:t>
      </w:r>
    </w:p>
    <w:p>
      <w:pPr>
        <w:pStyle w:val="Body"/>
      </w:pPr>
      <w:r>
        <w:rPr>
          <w:outline w:val="0"/>
          <w:color w:val="000000"/>
          <w:sz w:val="22"/>
          <w:szCs w:val="22"/>
          <w:u w:color="000000"/>
          <w:rtl w:val="0"/>
          <w:lang w:val="en-US"/>
          <w14:textFill>
            <w14:solidFill>
              <w14:srgbClr w14:val="000000"/>
            </w14:solidFill>
          </w14:textFill>
        </w:rPr>
        <w:t>Scalloway</w:t>
      </w:r>
      <w:r>
        <w:rPr>
          <w:rFonts w:ascii="Arial Unicode MS" w:hAnsi="Arial Unicode MS" w:hint="default"/>
          <w:outline w:val="0"/>
          <w:color w:val="000000"/>
          <w:sz w:val="22"/>
          <w:szCs w:val="22"/>
          <w:u w:color="000000"/>
          <w:rtl w:val="0"/>
          <w:lang w:val="fr-FR"/>
          <w14:textFill>
            <w14:solidFill>
              <w14:srgbClr w14:val="000000"/>
            </w14:solidFill>
          </w14:textFill>
        </w:rPr>
        <w:t>’</w:t>
      </w:r>
      <w:r>
        <w:rPr>
          <w:outline w:val="0"/>
          <w:color w:val="000000"/>
          <w:sz w:val="22"/>
          <w:szCs w:val="22"/>
          <w:u w:color="000000"/>
          <w:rtl w:val="0"/>
          <w:lang w:val="en-US"/>
          <w14:textFill>
            <w14:solidFill>
              <w14:srgbClr w14:val="000000"/>
            </w14:solidFill>
          </w14:textFill>
        </w:rPr>
        <w:t xml:space="preserve">s population of </w:t>
      </w:r>
      <w:r>
        <w:rPr>
          <w:outline w:val="0"/>
          <w:color w:val="000000"/>
          <w:sz w:val="22"/>
          <w:szCs w:val="22"/>
          <w:u w:color="000000"/>
          <w:rtl w:val="0"/>
          <w:lang w:val="en-US"/>
          <w14:textFill>
            <w14:solidFill>
              <w14:srgbClr w14:val="000000"/>
            </w14:solidFill>
          </w14:textFill>
        </w:rPr>
        <w:t>1,275</w:t>
      </w:r>
      <w:r>
        <w:rPr>
          <w:outline w:val="0"/>
          <w:color w:val="000000"/>
          <w:sz w:val="22"/>
          <w:szCs w:val="22"/>
          <w:u w:color="000000"/>
          <w:rtl w:val="0"/>
          <w:lang w:val="en-US"/>
          <w14:textFill>
            <w14:solidFill>
              <w14:srgbClr w14:val="000000"/>
            </w14:solidFill>
          </w14:textFill>
        </w:rPr>
        <w:t xml:space="preserve"> residents (20</w:t>
      </w:r>
      <w:r>
        <w:rPr>
          <w:outline w:val="0"/>
          <w:color w:val="000000"/>
          <w:sz w:val="22"/>
          <w:szCs w:val="22"/>
          <w:u w:color="000000"/>
          <w:rtl w:val="0"/>
          <w:lang w:val="en-US"/>
          <w14:textFill>
            <w14:solidFill>
              <w14:srgbClr w14:val="000000"/>
            </w14:solidFill>
          </w14:textFill>
        </w:rPr>
        <w:t>2</w:t>
      </w:r>
      <w:r>
        <w:rPr>
          <w:outline w:val="0"/>
          <w:color w:val="000000"/>
          <w:sz w:val="22"/>
          <w:szCs w:val="22"/>
          <w:u w:color="000000"/>
          <w:rtl w:val="0"/>
          <w:lang w:val="en-US"/>
          <w14:textFill>
            <w14:solidFill>
              <w14:srgbClr w14:val="000000"/>
            </w14:solidFill>
          </w14:textFill>
        </w:rPr>
        <w:t>1 Census) is expected to continue to grow</w:t>
      </w:r>
      <w:r>
        <w:rPr>
          <w:outline w:val="0"/>
          <w:color w:val="000000"/>
          <w:sz w:val="22"/>
          <w:szCs w:val="22"/>
          <w:u w:color="000000"/>
          <w:rtl w:val="0"/>
          <w:lang w:val="en-US"/>
          <w14:textFill>
            <w14:solidFill>
              <w14:srgbClr w14:val="000000"/>
            </w14:solidFill>
          </w14:textFill>
        </w:rPr>
        <w:t>,</w:t>
      </w:r>
      <w:r>
        <w:rPr>
          <w:outline w:val="0"/>
          <w:color w:val="000000"/>
          <w:sz w:val="22"/>
          <w:szCs w:val="22"/>
          <w:u w:color="000000"/>
          <w:rtl w:val="0"/>
          <w:lang w:val="en-US"/>
          <w14:textFill>
            <w14:solidFill>
              <w14:srgbClr w14:val="000000"/>
            </w14:solidFill>
          </w14:textFill>
        </w:rPr>
        <w:t xml:space="preserve"> based on demand. This is evidenced by 583 </w:t>
      </w:r>
      <w:r>
        <w:rPr>
          <w:outline w:val="0"/>
          <w:color w:val="000000"/>
          <w:sz w:val="22"/>
          <w:szCs w:val="22"/>
          <w:u w:color="000000"/>
          <w:rtl w:val="0"/>
          <w:lang w:val="en-US"/>
          <w14:textFill>
            <w14:solidFill>
              <w14:srgbClr w14:val="000000"/>
            </w14:solidFill>
          </w14:textFill>
        </w:rPr>
        <w:t xml:space="preserve">recent </w:t>
      </w:r>
      <w:r>
        <w:rPr>
          <w:outline w:val="0"/>
          <w:color w:val="000000"/>
          <w:sz w:val="22"/>
          <w:szCs w:val="22"/>
          <w:u w:color="000000"/>
          <w:rtl w:val="0"/>
          <w:lang w:val="en-US"/>
          <w14:textFill>
            <w14:solidFill>
              <w14:srgbClr w14:val="000000"/>
            </w14:solidFill>
          </w14:textFill>
        </w:rPr>
        <w:t>applicants on the Council</w:t>
      </w:r>
      <w:r>
        <w:rPr>
          <w:rFonts w:ascii="Arial Unicode MS" w:hAnsi="Arial Unicode MS" w:hint="default"/>
          <w:outline w:val="0"/>
          <w:color w:val="000000"/>
          <w:sz w:val="22"/>
          <w:szCs w:val="22"/>
          <w:u w:color="000000"/>
          <w:rtl w:val="0"/>
          <w:lang w:val="fr-FR"/>
          <w14:textFill>
            <w14:solidFill>
              <w14:srgbClr w14:val="000000"/>
            </w14:solidFill>
          </w14:textFill>
        </w:rPr>
        <w:t>’</w:t>
      </w:r>
      <w:r>
        <w:rPr>
          <w:outline w:val="0"/>
          <w:color w:val="000000"/>
          <w:sz w:val="22"/>
          <w:szCs w:val="22"/>
          <w:u w:color="000000"/>
          <w:rtl w:val="0"/>
          <w:lang w:val="en-US"/>
          <w14:textFill>
            <w14:solidFill>
              <w14:srgbClr w14:val="000000"/>
            </w14:solidFill>
          </w14:textFill>
        </w:rPr>
        <w:t>s housing register, of whom 238 have included Scalloway as a preferred area.</w:t>
      </w:r>
    </w:p>
    <w:p>
      <w:pPr>
        <w:pStyle w:val="Body"/>
        <w:rPr>
          <w:outline w:val="0"/>
          <w:color w:val="000000"/>
          <w:sz w:val="22"/>
          <w:szCs w:val="22"/>
          <w:u w:color="000000"/>
          <w14:textFill>
            <w14:solidFill>
              <w14:srgbClr w14:val="000000"/>
            </w14:solidFill>
          </w14:textFill>
        </w:rPr>
      </w:pPr>
      <w:r>
        <w:rPr>
          <w:outline w:val="0"/>
          <w:color w:val="000000"/>
          <w:sz w:val="22"/>
          <w:szCs w:val="22"/>
          <w:u w:color="000000"/>
          <w:rtl w:val="0"/>
          <w:lang w:val="en-US"/>
          <w14:textFill>
            <w14:solidFill>
              <w14:srgbClr w14:val="000000"/>
            </w14:solidFill>
          </w14:textFill>
        </w:rPr>
        <w:t>The Council ran a Call for Sites process for LDP2 in 2019. The information gathered will be used to consider potential future sites for housing, business and industry in Scalloway.</w:t>
      </w:r>
    </w:p>
    <w:p>
      <w:pPr>
        <w:pStyle w:val="Heading 2"/>
      </w:pPr>
      <w:r>
        <w:rPr>
          <w:outline w:val="0"/>
          <w:color w:val="000000"/>
          <w:sz w:val="22"/>
          <w:szCs w:val="22"/>
          <w:u w:color="000000"/>
          <w14:textFill>
            <w14:solidFill>
              <w14:srgbClr w14:val="000000"/>
            </w14:solidFill>
          </w14:textFill>
        </w:rPr>
        <w:drawing xmlns:a="http://schemas.openxmlformats.org/drawingml/2006/main">
          <wp:inline distT="0" distB="0" distL="0" distR="0">
            <wp:extent cx="4407291" cy="6225980"/>
            <wp:effectExtent l="0" t="0" r="0" b="0"/>
            <wp:docPr id="1073741841" name="officeArt object" descr="Completions 0225 copy.png"/>
            <wp:cNvGraphicFramePr/>
            <a:graphic xmlns:a="http://schemas.openxmlformats.org/drawingml/2006/main">
              <a:graphicData uri="http://schemas.openxmlformats.org/drawingml/2006/picture">
                <pic:pic xmlns:pic="http://schemas.openxmlformats.org/drawingml/2006/picture">
                  <pic:nvPicPr>
                    <pic:cNvPr id="1073741841" name="Completions 0225 copy.png" descr="Completions 0225 copy.png"/>
                    <pic:cNvPicPr>
                      <a:picLocks noChangeAspect="1"/>
                    </pic:cNvPicPr>
                  </pic:nvPicPr>
                  <pic:blipFill>
                    <a:blip r:embed="rId15">
                      <a:extLst/>
                    </a:blip>
                    <a:srcRect l="3731" t="0" r="3731" b="0"/>
                    <a:stretch>
                      <a:fillRect/>
                    </a:stretch>
                  </pic:blipFill>
                  <pic:spPr>
                    <a:xfrm>
                      <a:off x="0" y="0"/>
                      <a:ext cx="4407291" cy="6225980"/>
                    </a:xfrm>
                    <a:prstGeom prst="rect">
                      <a:avLst/>
                    </a:prstGeom>
                    <a:ln w="25400" cap="flat">
                      <a:solidFill>
                        <a:srgbClr val="F3F7F5"/>
                      </a:solidFill>
                      <a:prstDash val="solid"/>
                      <a:miter lim="400000"/>
                    </a:ln>
                    <a:effectLst>
                      <a:outerShdw sx="100000" sy="100000" kx="0" ky="0" algn="b" rotWithShape="0" blurRad="50800" dist="25400" dir="3600000">
                        <a:srgbClr val="000000">
                          <a:alpha val="70000"/>
                        </a:srgbClr>
                      </a:outerShdw>
                    </a:effectLst>
                  </pic:spPr>
                </pic:pic>
              </a:graphicData>
            </a:graphic>
          </wp:inline>
        </w:drawing>
      </w:r>
    </w:p>
    <w:p>
      <w:pPr>
        <w:pStyle w:val="Heading 2"/>
      </w:pPr>
    </w:p>
    <w:p>
      <w:pPr>
        <w:pStyle w:val="Heading 2"/>
      </w:pPr>
      <w:r>
        <w:rPr>
          <w:rtl w:val="0"/>
        </w:rPr>
        <w:t>Community Strength</w:t>
      </w:r>
      <w:r>
        <w:drawing xmlns:a="http://schemas.openxmlformats.org/drawingml/2006/main">
          <wp:anchor distT="152400" distB="152400" distL="152400" distR="152400" simplePos="0" relativeHeight="251662336" behindDoc="0" locked="0" layoutInCell="1" allowOverlap="1">
            <wp:simplePos x="0" y="0"/>
            <wp:positionH relativeFrom="margin">
              <wp:posOffset>12699</wp:posOffset>
            </wp:positionH>
            <wp:positionV relativeFrom="line">
              <wp:posOffset>368299</wp:posOffset>
            </wp:positionV>
            <wp:extent cx="1290006" cy="1321342"/>
            <wp:effectExtent l="0" t="0" r="0" b="0"/>
            <wp:wrapThrough wrapText="bothSides" distL="152400" distR="152400">
              <wp:wrapPolygon edited="1">
                <wp:start x="-213" y="-208"/>
                <wp:lineTo x="-213" y="0"/>
                <wp:lineTo x="-213" y="21598"/>
                <wp:lineTo x="-213" y="21805"/>
                <wp:lineTo x="0" y="21805"/>
                <wp:lineTo x="21597" y="21805"/>
                <wp:lineTo x="21810" y="21805"/>
                <wp:lineTo x="21810" y="21598"/>
                <wp:lineTo x="21810" y="0"/>
                <wp:lineTo x="21810" y="-208"/>
                <wp:lineTo x="21597" y="-208"/>
                <wp:lineTo x="0" y="-208"/>
                <wp:lineTo x="-213" y="-208"/>
              </wp:wrapPolygon>
            </wp:wrapThrough>
            <wp:docPr id="1073741842" name="officeArt object" descr="page13image893472.jpg"/>
            <wp:cNvGraphicFramePr/>
            <a:graphic xmlns:a="http://schemas.openxmlformats.org/drawingml/2006/main">
              <a:graphicData uri="http://schemas.openxmlformats.org/drawingml/2006/picture">
                <pic:pic xmlns:pic="http://schemas.openxmlformats.org/drawingml/2006/picture">
                  <pic:nvPicPr>
                    <pic:cNvPr id="1073741842" name="page13image893472.jpg" descr="page13image893472.jpg"/>
                    <pic:cNvPicPr>
                      <a:picLocks noChangeAspect="1"/>
                    </pic:cNvPicPr>
                  </pic:nvPicPr>
                  <pic:blipFill>
                    <a:blip r:embed="rId16">
                      <a:extLst/>
                    </a:blip>
                    <a:stretch>
                      <a:fillRect/>
                    </a:stretch>
                  </pic:blipFill>
                  <pic:spPr>
                    <a:xfrm>
                      <a:off x="0" y="0"/>
                      <a:ext cx="1290006" cy="1321342"/>
                    </a:xfrm>
                    <a:prstGeom prst="rect">
                      <a:avLst/>
                    </a:prstGeom>
                    <a:ln w="25400" cap="flat">
                      <a:solidFill>
                        <a:srgbClr val="F3F7F5"/>
                      </a:solidFill>
                      <a:prstDash val="solid"/>
                      <a:miter lim="400000"/>
                    </a:ln>
                    <a:effectLst>
                      <a:outerShdw sx="100000" sy="100000" kx="0" ky="0" algn="b" rotWithShape="0" blurRad="50800" dist="25400" dir="3600000">
                        <a:srgbClr val="000000">
                          <a:alpha val="70000"/>
                        </a:srgbClr>
                      </a:outerShdw>
                    </a:effectLst>
                  </pic:spPr>
                </pic:pic>
              </a:graphicData>
            </a:graphic>
          </wp:anchor>
        </w:drawing>
      </w:r>
    </w:p>
    <w:p>
      <w:pPr>
        <w:pStyle w:val="Body"/>
      </w:pPr>
      <w:r>
        <w:rPr>
          <w:sz w:val="22"/>
          <w:szCs w:val="22"/>
          <w:rtl w:val="0"/>
          <w:lang w:val="en-US"/>
        </w:rPr>
        <w:t>One of Scalloway</w:t>
      </w:r>
      <w:r>
        <w:rPr>
          <w:sz w:val="22"/>
          <w:szCs w:val="22"/>
          <w:rtl w:val="0"/>
          <w:lang w:val="fr-FR"/>
        </w:rPr>
        <w:t>’</w:t>
      </w:r>
      <w:r>
        <w:rPr>
          <w:sz w:val="22"/>
          <w:szCs w:val="22"/>
          <w:rtl w:val="0"/>
          <w:lang w:val="en-US"/>
        </w:rPr>
        <w:t>s greatest strengths is its people. The Re-Create Scalloway</w:t>
      </w:r>
      <w:r>
        <w:rPr>
          <w:sz w:val="22"/>
          <w:szCs w:val="22"/>
          <w:rtl w:val="0"/>
          <w:lang w:val="en-US"/>
        </w:rPr>
        <w:t>, Destination Scalloway and subsequent</w:t>
      </w:r>
      <w:r>
        <w:rPr>
          <w:sz w:val="22"/>
          <w:szCs w:val="22"/>
          <w:rtl w:val="0"/>
          <w:lang w:val="en-US"/>
        </w:rPr>
        <w:t xml:space="preserve"> events demonstrated this with a high level of public engagement:</w:t>
      </w:r>
    </w:p>
    <w:p>
      <w:pPr>
        <w:pStyle w:val="List Paragraph"/>
        <w:numPr>
          <w:ilvl w:val="1"/>
          <w:numId w:val="4"/>
        </w:numPr>
      </w:pPr>
      <w:r>
        <w:rPr>
          <w:rFonts w:ascii="Arial" w:hAnsi="Arial"/>
          <w:outline w:val="0"/>
          <w:color w:val="000000"/>
          <w:u w:color="000000"/>
          <w:rtl w:val="0"/>
          <w:lang w:val="en-US"/>
          <w14:textFill>
            <w14:solidFill>
              <w14:srgbClr w14:val="000000"/>
            </w14:solidFill>
          </w14:textFill>
        </w:rPr>
        <w:t>214 people attended the workshops held in May, June and November 2018.</w:t>
      </w:r>
    </w:p>
    <w:p>
      <w:pPr>
        <w:pStyle w:val="List Paragraph"/>
        <w:numPr>
          <w:ilvl w:val="0"/>
          <w:numId w:val="5"/>
        </w:numPr>
      </w:pPr>
      <w:r>
        <w:rPr>
          <w:rFonts w:ascii="Arial" w:hAnsi="Arial"/>
          <w:outline w:val="0"/>
          <w:color w:val="000000"/>
          <w:u w:color="000000"/>
          <w:rtl w:val="0"/>
          <w:lang w:val="en-US"/>
          <w14:textFill>
            <w14:solidFill>
              <w14:srgbClr w14:val="000000"/>
            </w14:solidFill>
          </w14:textFill>
        </w:rPr>
        <w:t>296 young people engaged at the Primary School and Anderson High School.</w:t>
      </w:r>
    </w:p>
    <w:p>
      <w:pPr>
        <w:pStyle w:val="List Paragraph"/>
        <w:numPr>
          <w:ilvl w:val="0"/>
          <w:numId w:val="5"/>
        </w:numPr>
      </w:pPr>
      <w:r>
        <w:rPr>
          <w:rFonts w:ascii="Arial" w:hAnsi="Arial"/>
          <w:outline w:val="0"/>
          <w:color w:val="000000"/>
          <w:u w:color="000000"/>
          <w:rtl w:val="0"/>
          <w:lang w:val="en-US"/>
          <w14:textFill>
            <w14:solidFill>
              <w14:srgbClr w14:val="000000"/>
            </w14:solidFill>
          </w14:textFill>
        </w:rPr>
        <w:t>166 pre-consultation surveys were completed and returned to the Community Council.</w:t>
      </w:r>
    </w:p>
    <w:p>
      <w:pPr>
        <w:pStyle w:val="List Paragraph"/>
        <w:numPr>
          <w:ilvl w:val="0"/>
          <w:numId w:val="5"/>
        </w:numPr>
      </w:pPr>
      <w:r>
        <w:rPr>
          <w:rFonts w:ascii="Arial" w:hAnsi="Arial"/>
          <w:outline w:val="0"/>
          <w:color w:val="000000"/>
          <w:u w:color="000000"/>
          <w:rtl w:val="0"/>
          <w:lang w:val="en-US"/>
          <w14:textFill>
            <w14:solidFill>
              <w14:srgbClr w14:val="000000"/>
            </w14:solidFill>
          </w14:textFill>
        </w:rPr>
        <w:t>Destination Scalloway - 70 people engaged at open event.</w:t>
      </w:r>
    </w:p>
    <w:p>
      <w:pPr>
        <w:pStyle w:val="List Paragraph"/>
        <w:numPr>
          <w:ilvl w:val="0"/>
          <w:numId w:val="5"/>
        </w:numPr>
      </w:pPr>
      <w:r>
        <w:rPr>
          <w:rFonts w:ascii="Arial" w:hAnsi="Arial"/>
          <w:outline w:val="0"/>
          <w:color w:val="000000"/>
          <w:u w:color="000000"/>
          <w:rtl w:val="0"/>
          <w:lang w:val="en-US"/>
          <w14:textFill>
            <w14:solidFill>
              <w14:srgbClr w14:val="000000"/>
            </w14:solidFill>
          </w14:textFill>
        </w:rPr>
        <w:t xml:space="preserve"> Destination Scalloway online - 375 hits through 271 devices. </w:t>
      </w:r>
    </w:p>
    <w:p>
      <w:pPr>
        <w:pStyle w:val="List Paragraph"/>
        <w:spacing w:after="80"/>
      </w:pPr>
    </w:p>
    <w:p>
      <w:pPr>
        <w:pStyle w:val="Heading"/>
      </w:pPr>
      <w:r>
        <w:rPr>
          <w:outline w:val="0"/>
          <w:color w:val="1f6b75"/>
          <w:u w:color="1f6b75"/>
          <w:rtl w:val="0"/>
          <w:lang w:val="en-US"/>
          <w14:textFill>
            <w14:solidFill>
              <w14:srgbClr w14:val="1F6B75"/>
            </w14:solidFill>
          </w14:textFill>
        </w:rPr>
        <w:t>7. Summary of the Public Consultation Events</w:t>
      </w:r>
    </w:p>
    <w:p>
      <w:pPr>
        <w:pStyle w:val="Caption"/>
        <w:bidi w:val="0"/>
      </w:pPr>
      <w:r>
        <w:rPr>
          <w:outline w:val="0"/>
          <w:color w:val="000000"/>
          <w:sz w:val="22"/>
          <w:szCs w:val="22"/>
          <w:u w:color="000000"/>
          <w:rtl w:val="0"/>
          <w:lang w:val="en-US"/>
          <w14:textFill>
            <w14:solidFill>
              <w14:srgbClr w14:val="000000"/>
            </w14:solidFill>
          </w14:textFill>
        </w:rPr>
        <w:t>The Re-Create Scalloway Spatial Vision provides a full report on the outcomes of the public consultation events and workshops. Below is a summary of the process</w:t>
      </w:r>
      <w:r>
        <w:rPr>
          <w:outline w:val="0"/>
          <w:color w:val="000000"/>
          <w:sz w:val="22"/>
          <w:szCs w:val="22"/>
          <w:u w:color="000000"/>
          <w:rtl w:val="0"/>
          <w:lang w:val="en-US"/>
          <w14:textFill>
            <w14:solidFill>
              <w14:srgbClr w14:val="000000"/>
            </w14:solidFill>
          </w14:textFill>
        </w:rPr>
        <w:t xml:space="preserve"> that took place</w:t>
      </w:r>
      <w:r>
        <w:rPr>
          <w:outline w:val="0"/>
          <w:color w:val="000000"/>
          <w:sz w:val="22"/>
          <w:szCs w:val="22"/>
          <w:u w:color="000000"/>
          <w:rtl w:val="0"/>
          <w14:textFill>
            <w14:solidFill>
              <w14:srgbClr w14:val="000000"/>
            </w14:solidFill>
          </w14:textFill>
        </w:rPr>
        <w:t>.</w:t>
      </w:r>
      <w:r>
        <w:rPr>
          <w:outline w:val="0"/>
          <w:color w:val="000000"/>
          <w:sz w:val="22"/>
          <w:szCs w:val="22"/>
          <w:u w:color="000000"/>
          <w14:textFill>
            <w14:solidFill>
              <w14:srgbClr w14:val="000000"/>
            </w14:solidFill>
          </w14:textFill>
        </w:rPr>
        <w:drawing xmlns:a="http://schemas.openxmlformats.org/drawingml/2006/main">
          <wp:anchor distT="152400" distB="152400" distL="152400" distR="152400" simplePos="0" relativeHeight="251663360" behindDoc="0" locked="0" layoutInCell="1" allowOverlap="1">
            <wp:simplePos x="0" y="0"/>
            <wp:positionH relativeFrom="margin">
              <wp:posOffset>12699</wp:posOffset>
            </wp:positionH>
            <wp:positionV relativeFrom="line">
              <wp:posOffset>619827</wp:posOffset>
            </wp:positionV>
            <wp:extent cx="1290006" cy="1483223"/>
            <wp:effectExtent l="0" t="0" r="0" b="0"/>
            <wp:wrapThrough wrapText="bothSides" distL="152400" distR="152400">
              <wp:wrapPolygon edited="1">
                <wp:start x="-213" y="-185"/>
                <wp:lineTo x="-213" y="0"/>
                <wp:lineTo x="-213" y="21599"/>
                <wp:lineTo x="-213" y="21783"/>
                <wp:lineTo x="0" y="21783"/>
                <wp:lineTo x="21597" y="21783"/>
                <wp:lineTo x="21810" y="21783"/>
                <wp:lineTo x="21810" y="21599"/>
                <wp:lineTo x="21810" y="0"/>
                <wp:lineTo x="21810" y="-185"/>
                <wp:lineTo x="21597" y="-185"/>
                <wp:lineTo x="0" y="-185"/>
                <wp:lineTo x="-213" y="-185"/>
              </wp:wrapPolygon>
            </wp:wrapThrough>
            <wp:docPr id="1073741843" name="officeArt object" descr="page13image895552.jpg"/>
            <wp:cNvGraphicFramePr/>
            <a:graphic xmlns:a="http://schemas.openxmlformats.org/drawingml/2006/main">
              <a:graphicData uri="http://schemas.openxmlformats.org/drawingml/2006/picture">
                <pic:pic xmlns:pic="http://schemas.openxmlformats.org/drawingml/2006/picture">
                  <pic:nvPicPr>
                    <pic:cNvPr id="1073741843" name="page13image895552.jpg" descr="page13image895552.jpg"/>
                    <pic:cNvPicPr>
                      <a:picLocks noChangeAspect="1"/>
                    </pic:cNvPicPr>
                  </pic:nvPicPr>
                  <pic:blipFill>
                    <a:blip r:embed="rId17">
                      <a:extLst/>
                    </a:blip>
                    <a:stretch>
                      <a:fillRect/>
                    </a:stretch>
                  </pic:blipFill>
                  <pic:spPr>
                    <a:xfrm>
                      <a:off x="0" y="0"/>
                      <a:ext cx="1290006" cy="1483223"/>
                    </a:xfrm>
                    <a:prstGeom prst="rect">
                      <a:avLst/>
                    </a:prstGeom>
                    <a:ln w="25400" cap="flat">
                      <a:solidFill>
                        <a:srgbClr val="F3F7F5"/>
                      </a:solidFill>
                      <a:prstDash val="solid"/>
                      <a:miter lim="400000"/>
                    </a:ln>
                    <a:effectLst>
                      <a:outerShdw sx="100000" sy="100000" kx="0" ky="0" algn="b" rotWithShape="0" blurRad="50800" dist="25400" dir="3600000">
                        <a:srgbClr val="000000">
                          <a:alpha val="70000"/>
                        </a:srgbClr>
                      </a:outerShdw>
                    </a:effectLst>
                  </pic:spPr>
                </pic:pic>
              </a:graphicData>
            </a:graphic>
          </wp:anchor>
        </w:drawing>
      </w:r>
    </w:p>
    <w:p>
      <w:pPr>
        <w:pStyle w:val="Heading"/>
      </w:pPr>
    </w:p>
    <w:p>
      <w:pPr>
        <w:pStyle w:val="Body"/>
      </w:pPr>
      <w:r>
        <w:rPr>
          <w:b w:val="1"/>
          <w:bCs w:val="1"/>
          <w:rtl w:val="0"/>
          <w:lang w:val="fr-FR"/>
        </w:rPr>
        <w:t>Pre-Consultation (Apr</w:t>
      </w:r>
      <w:r>
        <w:rPr>
          <w:b w:val="1"/>
          <w:bCs w:val="1"/>
          <w:rtl w:val="0"/>
        </w:rPr>
        <w:t>–</w:t>
      </w:r>
      <w:r>
        <w:rPr>
          <w:b w:val="1"/>
          <w:bCs w:val="1"/>
          <w:rtl w:val="0"/>
          <w:lang w:val="en-US"/>
        </w:rPr>
        <w:t>May 2018)</w:t>
      </w:r>
      <w:r>
        <w:rPr>
          <w:i w:val="1"/>
          <w:iCs w:val="1"/>
          <w:rtl w:val="0"/>
        </w:rPr>
        <w:t>:</w:t>
      </w:r>
      <w:r>
        <w:rPr>
          <w:rtl w:val="0"/>
        </w:rPr>
        <w:t xml:space="preserve"> The project was named 'Re-Create Scalloway' via a youth centre competition, and a project website launched. Questionnaires were hand-delivered to every household and business, rating issues like community facilities, housing, walking routes, and traffic/parking. Separate surveys covered businesses and non-resident visitors. 166 responses received.</w:t>
      </w:r>
    </w:p>
    <w:p>
      <w:pPr>
        <w:pStyle w:val="Body"/>
      </w:pPr>
      <w:r>
        <w:rPr>
          <w:b w:val="1"/>
          <w:bCs w:val="1"/>
          <w:rtl w:val="0"/>
          <w:lang w:val="en-US"/>
        </w:rPr>
        <w:t>Information Gathering (May 2018)</w:t>
      </w:r>
      <w:r>
        <w:rPr>
          <w:i w:val="1"/>
          <w:iCs w:val="1"/>
          <w:rtl w:val="0"/>
        </w:rPr>
        <w:t>:</w:t>
      </w:r>
      <w:r>
        <w:rPr>
          <w:rtl w:val="0"/>
        </w:rPr>
        <w:t xml:space="preserve"> Workshops at the Public Hall covered community facilities, transport, and housing. Young people tested village accessibility on a dedicated walk.</w:t>
      </w:r>
    </w:p>
    <w:p>
      <w:pPr>
        <w:pStyle w:val="Body"/>
      </w:pPr>
      <w:r>
        <w:rPr>
          <w:b w:val="1"/>
          <w:bCs w:val="1"/>
          <w:rtl w:val="0"/>
          <w:lang w:val="en-US"/>
        </w:rPr>
        <w:t>Identifying Priorities (June 2018)</w:t>
      </w:r>
      <w:r>
        <w:rPr>
          <w:i w:val="1"/>
          <w:iCs w:val="1"/>
          <w:rtl w:val="0"/>
        </w:rPr>
        <w:t>:</w:t>
      </w:r>
      <w:r>
        <w:rPr>
          <w:rtl w:val="0"/>
        </w:rPr>
        <w:t xml:space="preserve"> Follow-up events refined ideas from May, adding a new 'business opportunities' theme. Over 100 young people engaged across the Primary School, Anderson High School, and NAFC; 77 adults attended Public Hall workshops, plus a dedicated 60+ session.</w:t>
      </w:r>
    </w:p>
    <w:p>
      <w:pPr>
        <w:pStyle w:val="Body"/>
      </w:pPr>
      <w:r>
        <w:rPr>
          <w:b w:val="1"/>
          <w:bCs w:val="1"/>
          <w:rtl w:val="0"/>
        </w:rPr>
        <w:t>Voting for Priorities (Nov 2018)</w:t>
      </w:r>
      <w:r>
        <w:rPr>
          <w:i w:val="1"/>
          <w:iCs w:val="1"/>
          <w:rtl w:val="0"/>
        </w:rPr>
        <w:t>:</w:t>
      </w:r>
      <w:r>
        <w:rPr>
          <w:rtl w:val="0"/>
        </w:rPr>
        <w:t xml:space="preserve"> A voting event (in-person and online) drew 157 participants, narrowing 24 options down to 18 for the Action Plan.</w:t>
      </w:r>
      <w:r>
        <w:drawing xmlns:a="http://schemas.openxmlformats.org/drawingml/2006/main">
          <wp:anchor distT="0" distB="0" distL="0" distR="0" simplePos="0" relativeHeight="251666432" behindDoc="0" locked="0" layoutInCell="1" allowOverlap="1">
            <wp:simplePos x="0" y="0"/>
            <wp:positionH relativeFrom="margin">
              <wp:posOffset>1758950</wp:posOffset>
            </wp:positionH>
            <wp:positionV relativeFrom="line">
              <wp:posOffset>340360</wp:posOffset>
            </wp:positionV>
            <wp:extent cx="1580645" cy="1348910"/>
            <wp:effectExtent l="0" t="0" r="0" b="0"/>
            <wp:wrapNone/>
            <wp:docPr id="1073741844" name="officeArt object" descr="page15image580928.jpg"/>
            <wp:cNvGraphicFramePr/>
            <a:graphic xmlns:a="http://schemas.openxmlformats.org/drawingml/2006/main">
              <a:graphicData uri="http://schemas.openxmlformats.org/drawingml/2006/picture">
                <pic:pic xmlns:pic="http://schemas.openxmlformats.org/drawingml/2006/picture">
                  <pic:nvPicPr>
                    <pic:cNvPr id="1073741844" name="page15image580928.jpg" descr="page15image580928.jpg"/>
                    <pic:cNvPicPr>
                      <a:picLocks noChangeAspect="1"/>
                    </pic:cNvPicPr>
                  </pic:nvPicPr>
                  <pic:blipFill>
                    <a:blip r:embed="rId18">
                      <a:extLst/>
                    </a:blip>
                    <a:stretch>
                      <a:fillRect/>
                    </a:stretch>
                  </pic:blipFill>
                  <pic:spPr>
                    <a:xfrm>
                      <a:off x="0" y="0"/>
                      <a:ext cx="1580645" cy="1348910"/>
                    </a:xfrm>
                    <a:prstGeom prst="rect">
                      <a:avLst/>
                    </a:prstGeom>
                    <a:ln w="12700" cap="flat">
                      <a:noFill/>
                      <a:miter lim="400000"/>
                    </a:ln>
                    <a:effectLst/>
                  </pic:spPr>
                </pic:pic>
              </a:graphicData>
            </a:graphic>
          </wp:anchor>
        </w:drawing>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40" w:line="240" w:lineRule="auto"/>
        <w:jc w:val="left"/>
        <w:rPr>
          <w:rFonts w:ascii="Times Roman" w:cs="Times Roman" w:hAnsi="Times Roman" w:eastAsia="Times Roman"/>
        </w:rPr>
      </w:pPr>
    </w:p>
    <w:p>
      <w:pPr>
        <w:pStyle w:val="List Paragraph"/>
        <w:spacing w:after="80"/>
      </w:pPr>
      <w:r>
        <w:rPr>
          <w:rtl w:val="0"/>
        </w:rPr>
        <w:tab/>
        <w:t xml:space="preserve">                                        </w:t>
      </w:r>
    </w:p>
    <w:p>
      <w:pPr>
        <w:pStyle w:val="List Paragraph"/>
        <w:spacing w:after="80"/>
      </w:pPr>
    </w:p>
    <w:p>
      <w:pPr>
        <w:pStyle w:val="Heading"/>
      </w:pPr>
    </w:p>
    <w:p>
      <w:pPr>
        <w:pStyle w:val="Heading"/>
      </w:pPr>
    </w:p>
    <w:p>
      <w:pPr>
        <w:pStyle w:val="Heading 3"/>
        <w:rPr>
          <w:outline w:val="0"/>
          <w:color w:val="000000"/>
          <w:sz w:val="24"/>
          <w:szCs w:val="24"/>
          <w14:textFill>
            <w14:solidFill>
              <w14:srgbClr w14:val="000000"/>
            </w14:solidFill>
          </w14:textFill>
        </w:rPr>
      </w:pPr>
      <w:r>
        <w:rPr>
          <w:rtl w:val="0"/>
          <w:lang w:val="en-US"/>
        </w:rPr>
        <w:t xml:space="preserve">Scalloway Local Place Plan </w:t>
      </w:r>
      <w:r>
        <w:rPr>
          <w:rtl w:val="0"/>
          <w:lang w:val="en-US"/>
        </w:rPr>
        <w:t xml:space="preserve">– </w:t>
      </w:r>
      <w:r>
        <w:rPr>
          <w:rtl w:val="0"/>
          <w:lang w:val="en-US"/>
        </w:rPr>
        <w:t>Supplementary Planning Guidance</w:t>
      </w:r>
      <w:r>
        <w:rPr>
          <w:rtl w:val="0"/>
        </w:rPr>
        <w:t xml:space="preserve"> </w:t>
      </w:r>
    </w:p>
    <w:p>
      <w:pPr>
        <w:pStyle w:val="Body"/>
        <w:rPr>
          <w:outline w:val="0"/>
          <w:color w:val="000000"/>
          <w:sz w:val="24"/>
          <w:szCs w:val="24"/>
          <w14:textFill>
            <w14:solidFill>
              <w14:srgbClr w14:val="000000"/>
            </w14:solidFill>
          </w14:textFill>
        </w:rPr>
      </w:pPr>
      <w:r>
        <w:rPr>
          <w:rtl w:val="0"/>
        </w:rPr>
        <w:t>The Re-Create Scalloway findings were used to prepare Scalloway</w:t>
      </w:r>
      <w:r>
        <w:rPr>
          <w:rtl w:val="1"/>
        </w:rPr>
        <w:t>’</w:t>
      </w:r>
      <w:r>
        <w:rPr>
          <w:rtl w:val="0"/>
        </w:rPr>
        <w:t xml:space="preserve">s first Local Place Plan (2020). Place Plans are a new part of the development plan process which allows local communities to prepare their own plan, setting out their proposed allocations for the use and development of land. The Local Planning Authority is required to ensure that Local Place Plans inform the Local Development Plan (LDP). SIC has adopted the Scalloway Local Place Plan as Supplementary Guidance to the adopted LDP </w:t>
      </w:r>
    </w:p>
    <w:p>
      <w:pPr>
        <w:pStyle w:val="Heading 3"/>
      </w:pPr>
      <w:r>
        <w:rPr>
          <w:rtl w:val="0"/>
          <w:lang w:val="en-US"/>
        </w:rPr>
        <w:t>Destination Scalloway</w:t>
      </w:r>
    </w:p>
    <w:p>
      <w:pPr>
        <w:pStyle w:val="Body"/>
      </w:pPr>
      <w:r>
        <w:rPr>
          <w:b w:val="1"/>
          <w:bCs w:val="1"/>
          <w:rtl w:val="0"/>
          <w:lang w:val="en-US"/>
        </w:rPr>
        <w:t xml:space="preserve"> Following on with</w:t>
      </w:r>
      <w:r>
        <w:rPr>
          <w:rtl w:val="0"/>
        </w:rPr>
        <w:t xml:space="preserve"> public and professional consultation,</w:t>
      </w:r>
      <w:r>
        <w:rPr>
          <w:b w:val="1"/>
          <w:bCs w:val="1"/>
          <w:rtl w:val="0"/>
          <w:lang w:val="en-US"/>
        </w:rPr>
        <w:t xml:space="preserve"> </w:t>
      </w:r>
      <w:r>
        <w:rPr>
          <w:rtl w:val="0"/>
        </w:rPr>
        <w:t xml:space="preserve">refining what has already come from Recreate Scalloway and the Local Place Plan and focussing on the Scalloway Waterfront and Town Centre. </w:t>
      </w:r>
      <w:r>
        <w:rPr>
          <w:rtl w:val="0"/>
        </w:rPr>
        <w:t>The first community engagement was held in the form of a drop-in public exhibition at Scalloway Public Hall. This was held over Friday 19th (1-5pm) and Saturday 20th (10am-5pm) November 2021. A set of 14 A1 boards were displayed explaining the project and setting out numerous questions and proposals for the area. Two members of the design team were present to answer questions and discuss ideas with the more than 70 local people who</w:t>
      </w:r>
      <w:r>
        <w:rPr>
          <w:rtl w:val="0"/>
        </w:rPr>
        <w:t xml:space="preserve"> </w:t>
      </w:r>
      <w:r>
        <w:rPr>
          <w:rtl w:val="0"/>
        </w:rPr>
        <w:t>attended.</w:t>
      </w:r>
      <w:r>
        <w:drawing xmlns:a="http://schemas.openxmlformats.org/drawingml/2006/main">
          <wp:inline distT="0" distB="0" distL="0" distR="0">
            <wp:extent cx="6070473" cy="4979749"/>
            <wp:effectExtent l="0" t="0" r="0" b="0"/>
            <wp:docPr id="1073741845" name="officeArt object" descr="page4image29718544.png"/>
            <wp:cNvGraphicFramePr/>
            <a:graphic xmlns:a="http://schemas.openxmlformats.org/drawingml/2006/main">
              <a:graphicData uri="http://schemas.openxmlformats.org/drawingml/2006/picture">
                <pic:pic xmlns:pic="http://schemas.openxmlformats.org/drawingml/2006/picture">
                  <pic:nvPicPr>
                    <pic:cNvPr id="1073741845" name="page4image29718544.png" descr="page4image29718544.png"/>
                    <pic:cNvPicPr>
                      <a:picLocks noChangeAspect="1"/>
                    </pic:cNvPicPr>
                  </pic:nvPicPr>
                  <pic:blipFill>
                    <a:blip r:embed="rId19">
                      <a:extLst/>
                    </a:blip>
                    <a:stretch>
                      <a:fillRect/>
                    </a:stretch>
                  </pic:blipFill>
                  <pic:spPr>
                    <a:xfrm>
                      <a:off x="0" y="0"/>
                      <a:ext cx="6070473" cy="4979749"/>
                    </a:xfrm>
                    <a:prstGeom prst="rect">
                      <a:avLst/>
                    </a:prstGeom>
                    <a:ln w="12700" cap="flat">
                      <a:noFill/>
                      <a:miter lim="400000"/>
                    </a:ln>
                    <a:effectLst/>
                  </pic:spPr>
                </pic:pic>
              </a:graphicData>
            </a:graphic>
          </wp:inline>
        </w:drawing>
      </w:r>
      <w:r>
        <w:rPr>
          <w:rtl w:val="0"/>
        </w:rPr>
        <w:t xml:space="preserve"> </w:t>
      </w:r>
    </w:p>
    <w:p>
      <w:pPr>
        <w:pStyle w:val="Body"/>
      </w:pPr>
      <w:r>
        <w:rPr>
          <w:rtl w:val="0"/>
        </w:rPr>
        <w:t>A virtual public consultation room was also made available to reach a wider audience and to cater for those not able to make it in person. Each board could be viewed/ downloaded, and comments submitted via the survey tool. It was online for three weeks (19th Nov to 10th Dec) and received 375 hits through 271 individual devices with an average spend time of over 6 minutes.</w:t>
      </w:r>
    </w:p>
    <w:p>
      <w:pPr>
        <w:pStyle w:val="Heading"/>
      </w:pPr>
      <w:r>
        <w:rPr>
          <w:rtl w:val="0"/>
        </w:rPr>
        <w:t>8. Our Priorities for Action</w:t>
      </w:r>
    </w:p>
    <w:p>
      <w:pPr>
        <w:pStyle w:val="Body"/>
        <w:rPr>
          <w:outline w:val="0"/>
          <w:color w:val="000000"/>
          <w:sz w:val="22"/>
          <w:szCs w:val="22"/>
          <w:u w:color="000000"/>
          <w14:textFill>
            <w14:solidFill>
              <w14:srgbClr w14:val="000000"/>
            </w14:solidFill>
          </w14:textFill>
        </w:rPr>
      </w:pPr>
      <w:r>
        <w:rPr>
          <w:rtl w:val="0"/>
        </w:rPr>
        <w:t>Scalloway Community Council</w:t>
      </w:r>
      <w:r>
        <w:rPr>
          <w:outline w:val="0"/>
          <w:color w:val="000000"/>
          <w:sz w:val="22"/>
          <w:szCs w:val="22"/>
          <w:u w:color="000000"/>
          <w:rtl w:val="0"/>
          <w14:textFill>
            <w14:solidFill>
              <w14:srgbClr w14:val="000000"/>
            </w14:solidFill>
          </w14:textFill>
        </w:rPr>
        <w:t xml:space="preserve"> </w:t>
      </w:r>
      <w:r>
        <w:rPr>
          <w:outline w:val="0"/>
          <w:color w:val="000000"/>
          <w:sz w:val="22"/>
          <w:szCs w:val="22"/>
          <w:u w:color="000000"/>
          <w:rtl w:val="0"/>
          <w:lang w:val="en-US"/>
          <w14:textFill>
            <w14:solidFill>
              <w14:srgbClr w14:val="000000"/>
            </w14:solidFill>
          </w14:textFill>
        </w:rPr>
        <w:t xml:space="preserve">and Scalloway Community Development Company have been, and continue to be, </w:t>
      </w:r>
      <w:r>
        <w:rPr>
          <w:outline w:val="0"/>
          <w:color w:val="000000"/>
          <w:sz w:val="22"/>
          <w:szCs w:val="22"/>
          <w:u w:color="000000"/>
          <w:rtl w:val="0"/>
          <w:lang w:val="en-US"/>
          <w14:textFill>
            <w14:solidFill>
              <w14:srgbClr w14:val="000000"/>
            </w14:solidFill>
          </w14:textFill>
        </w:rPr>
        <w:t xml:space="preserve">committed to delivering the priorities of the Spatial Vision as set out in the Action Plan. A number of </w:t>
      </w:r>
      <w:r>
        <w:rPr>
          <w:outline w:val="0"/>
          <w:color w:val="000000"/>
          <w:sz w:val="22"/>
          <w:szCs w:val="22"/>
          <w:u w:color="000000"/>
          <w:rtl w:val="0"/>
          <w:lang w:val="en-US"/>
          <w14:textFill>
            <w14:solidFill>
              <w14:srgbClr w14:val="000000"/>
            </w14:solidFill>
          </w14:textFill>
        </w:rPr>
        <w:t xml:space="preserve">these </w:t>
      </w:r>
      <w:r>
        <w:rPr>
          <w:outline w:val="0"/>
          <w:color w:val="000000"/>
          <w:sz w:val="22"/>
          <w:szCs w:val="22"/>
          <w:u w:color="000000"/>
          <w:rtl w:val="0"/>
          <w:lang w:val="en-US"/>
          <w14:textFill>
            <w14:solidFill>
              <w14:srgbClr w14:val="000000"/>
            </w14:solidFill>
          </w14:textFill>
        </w:rPr>
        <w:t>priorities could be achieved through coordinated projects.</w:t>
      </w:r>
    </w:p>
    <w:p>
      <w:pPr>
        <w:pStyle w:val="Heading"/>
      </w:pPr>
      <w:r>
        <w:rPr>
          <w:outline w:val="0"/>
          <w:color w:val="000000"/>
          <w:sz w:val="22"/>
          <w:szCs w:val="22"/>
          <w:u w:color="000000"/>
          <w14:textFill>
            <w14:solidFill>
              <w14:srgbClr w14:val="000000"/>
            </w14:solidFill>
          </w14:textFill>
        </w:rPr>
        <w:drawing xmlns:a="http://schemas.openxmlformats.org/drawingml/2006/main">
          <wp:inline distT="0" distB="0" distL="0" distR="0">
            <wp:extent cx="4991100" cy="2006600"/>
            <wp:effectExtent l="0" t="0" r="0" b="0"/>
            <wp:docPr id="1073741846" name="officeArt object" descr="page15image20206736.png"/>
            <wp:cNvGraphicFramePr/>
            <a:graphic xmlns:a="http://schemas.openxmlformats.org/drawingml/2006/main">
              <a:graphicData uri="http://schemas.openxmlformats.org/drawingml/2006/picture">
                <pic:pic xmlns:pic="http://schemas.openxmlformats.org/drawingml/2006/picture">
                  <pic:nvPicPr>
                    <pic:cNvPr id="1073741846" name="page15image20206736.png" descr="page15image20206736.png"/>
                    <pic:cNvPicPr>
                      <a:picLocks noChangeAspect="1"/>
                    </pic:cNvPicPr>
                  </pic:nvPicPr>
                  <pic:blipFill>
                    <a:blip r:embed="rId20">
                      <a:extLst/>
                    </a:blip>
                    <a:stretch>
                      <a:fillRect/>
                    </a:stretch>
                  </pic:blipFill>
                  <pic:spPr>
                    <a:xfrm>
                      <a:off x="0" y="0"/>
                      <a:ext cx="4991100" cy="2006600"/>
                    </a:xfrm>
                    <a:prstGeom prst="rect">
                      <a:avLst/>
                    </a:prstGeom>
                    <a:ln w="25400" cap="flat">
                      <a:solidFill>
                        <a:srgbClr val="F3F7F5"/>
                      </a:solidFill>
                      <a:prstDash val="solid"/>
                      <a:miter lim="400000"/>
                    </a:ln>
                    <a:effectLst>
                      <a:outerShdw sx="100000" sy="100000" kx="0" ky="0" algn="b" rotWithShape="0" blurRad="50800" dist="25400" dir="3600000">
                        <a:srgbClr val="000000">
                          <a:alpha val="70000"/>
                        </a:srgbClr>
                      </a:outerShdw>
                    </a:effectLst>
                  </pic:spPr>
                </pic:pic>
              </a:graphicData>
            </a:graphic>
          </wp:inline>
        </w:drawing>
      </w:r>
    </w:p>
    <w:p>
      <w:pPr>
        <w:pStyle w:val="Heading 3"/>
      </w:pPr>
      <w:r>
        <w:rPr>
          <w:rtl w:val="0"/>
        </w:rPr>
        <w:t xml:space="preserve">Burn Beach </w:t>
      </w:r>
      <w:r>
        <w:rPr>
          <w:rtl w:val="0"/>
        </w:rPr>
        <w:t>To Minister</w:t>
      </w:r>
      <w:r>
        <w:rPr>
          <w:rtl w:val="0"/>
        </w:rPr>
        <w:t>’</w:t>
      </w:r>
      <w:r>
        <w:rPr>
          <w:rtl w:val="0"/>
        </w:rPr>
        <w:t xml:space="preserve">s Beach </w:t>
      </w:r>
      <w:r>
        <w:rPr>
          <w:rtl w:val="0"/>
        </w:rPr>
        <w:t>Expansion &amp;</w:t>
      </w:r>
      <w:r>
        <w:rPr>
          <w:rtl w:val="0"/>
        </w:rPr>
        <w:t xml:space="preserve"> </w:t>
      </w:r>
      <w:r>
        <w:rPr>
          <w:rtl w:val="0"/>
        </w:rPr>
        <w:t>Improvements</w:t>
      </w:r>
    </w:p>
    <w:p>
      <w:pPr>
        <w:pStyle w:val="Body"/>
        <w:rPr>
          <w:sz w:val="22"/>
          <w:szCs w:val="22"/>
          <w:lang w:val="en-US"/>
        </w:rPr>
      </w:pPr>
      <w:r>
        <w:rPr>
          <w:sz w:val="22"/>
          <w:szCs w:val="22"/>
          <w:rtl w:val="0"/>
          <w:lang w:val="en-US"/>
        </w:rPr>
        <w:t>Our vision for Scalloway sets out to enhance Main Street and the waterfront area to promote a distinctive, safer and attractive place for residents, businesses and visitors. Three of the highest priorities for improvement are located in the centre of the village:</w:t>
      </w:r>
    </w:p>
    <w:p>
      <w:pPr>
        <w:pStyle w:val="Body"/>
      </w:pPr>
    </w:p>
    <w:p>
      <w:pPr>
        <w:pStyle w:val="List Paragraph"/>
        <w:numPr>
          <w:ilvl w:val="0"/>
          <w:numId w:val="6"/>
        </w:numPr>
        <w:bidi w:val="0"/>
        <w:spacing w:after="80"/>
        <w:ind w:right="0"/>
        <w:jc w:val="left"/>
        <w:rPr>
          <w:sz w:val="22"/>
          <w:szCs w:val="22"/>
          <w:rtl w:val="0"/>
          <w:lang w:val="en-US"/>
        </w:rPr>
      </w:pPr>
      <w:r>
        <w:rPr>
          <w:rFonts w:ascii="Arial" w:hAnsi="Arial"/>
          <w:outline w:val="0"/>
          <w:color w:val="000000"/>
          <w:sz w:val="22"/>
          <w:szCs w:val="22"/>
          <w:u w:color="000000"/>
          <w:rtl w:val="0"/>
          <w:lang w:val="en-US"/>
          <w14:textFill>
            <w14:solidFill>
              <w14:srgbClr w14:val="000000"/>
            </w14:solidFill>
          </w14:textFill>
        </w:rPr>
        <w:t>Additional parking at Burn Beach</w:t>
      </w:r>
      <w:r>
        <w:rPr>
          <w:rFonts w:ascii="Arial" w:hAnsi="Arial"/>
          <w:outline w:val="0"/>
          <w:color w:val="000000"/>
          <w:sz w:val="22"/>
          <w:szCs w:val="22"/>
          <w:u w:color="000000"/>
          <w:rtl w:val="0"/>
          <w:lang w:val="en-US"/>
          <w14:textFill>
            <w14:solidFill>
              <w14:srgbClr w14:val="000000"/>
            </w14:solidFill>
          </w14:textFill>
        </w:rPr>
        <w:t xml:space="preserve"> for cars, buses and motorhomes</w:t>
      </w:r>
    </w:p>
    <w:p>
      <w:pPr>
        <w:pStyle w:val="List Paragraph"/>
        <w:numPr>
          <w:ilvl w:val="0"/>
          <w:numId w:val="6"/>
        </w:numPr>
        <w:bidi w:val="0"/>
        <w:spacing w:after="80"/>
        <w:ind w:right="0"/>
        <w:jc w:val="left"/>
        <w:rPr>
          <w:sz w:val="22"/>
          <w:szCs w:val="22"/>
          <w:rtl w:val="0"/>
          <w:lang w:val="en-US"/>
        </w:rPr>
      </w:pPr>
      <w:r>
        <w:rPr>
          <w:rFonts w:ascii="Arial" w:hAnsi="Arial"/>
          <w:outline w:val="0"/>
          <w:color w:val="000000"/>
          <w:sz w:val="22"/>
          <w:szCs w:val="22"/>
          <w:u w:color="000000"/>
          <w:rtl w:val="0"/>
          <w:lang w:val="en-US"/>
          <w14:textFill>
            <w14:solidFill>
              <w14:srgbClr w14:val="000000"/>
            </w14:solidFill>
          </w14:textFill>
        </w:rPr>
        <w:t>Improved waterfront walkways and piers</w:t>
      </w:r>
    </w:p>
    <w:p>
      <w:pPr>
        <w:pStyle w:val="List Paragraph"/>
        <w:numPr>
          <w:ilvl w:val="0"/>
          <w:numId w:val="6"/>
        </w:numPr>
        <w:bidi w:val="0"/>
        <w:spacing w:after="80"/>
        <w:ind w:right="0"/>
        <w:jc w:val="left"/>
        <w:rPr>
          <w:sz w:val="22"/>
          <w:szCs w:val="22"/>
          <w:rtl w:val="0"/>
          <w:lang w:val="en-US"/>
        </w:rPr>
      </w:pPr>
      <w:r>
        <w:rPr>
          <w:rFonts w:ascii="Arial" w:hAnsi="Arial"/>
          <w:outline w:val="0"/>
          <w:color w:val="000000"/>
          <w:sz w:val="22"/>
          <w:szCs w:val="22"/>
          <w:u w:color="000000"/>
          <w:rtl w:val="0"/>
          <w:lang w:val="en-US"/>
          <w14:textFill>
            <w14:solidFill>
              <w14:srgbClr w14:val="000000"/>
            </w14:solidFill>
          </w14:textFill>
        </w:rPr>
        <w:t>Reconfiguration of Main Street to reduce congestion</w:t>
      </w:r>
    </w:p>
    <w:p>
      <w:pPr>
        <w:pStyle w:val="List Paragraph"/>
        <w:spacing w:after="80"/>
        <w:rPr>
          <w:rFonts w:ascii="Arial" w:cs="Arial" w:hAnsi="Arial" w:eastAsia="Arial"/>
          <w:outline w:val="0"/>
          <w:color w:val="000000"/>
          <w:sz w:val="22"/>
          <w:szCs w:val="22"/>
          <w:u w:color="000000"/>
          <w14:textFill>
            <w14:solidFill>
              <w14:srgbClr w14:val="000000"/>
            </w14:solidFill>
          </w14:textFill>
        </w:rPr>
      </w:pPr>
      <w:r>
        <w:rPr>
          <w:rFonts w:ascii="Arial" w:hAnsi="Arial"/>
          <w:outline w:val="0"/>
          <w:color w:val="000000"/>
          <w:sz w:val="22"/>
          <w:szCs w:val="22"/>
          <w:u w:color="000000"/>
          <w:rtl w:val="0"/>
          <w:lang w:val="en-US"/>
          <w14:textFill>
            <w14:solidFill>
              <w14:srgbClr w14:val="000000"/>
            </w14:solidFill>
          </w14:textFill>
        </w:rPr>
        <w:t>Taking a coordinated approach ensures that we do not consider improvements in isolation and that we are aware that changes in one area of the village could impact upon another. For example, if some parking were to be lost along Main Street to reduce congestion, improve safety and create more space for public realm improvements, it would need to be accommodated elsewhere. The expansion of Burn Beach through coastal reclamation could be one potential way of achieving this.</w:t>
      </w:r>
      <w:r>
        <w:rPr>
          <w:rFonts w:ascii="Arial" w:cs="Arial" w:hAnsi="Arial" w:eastAsia="Arial"/>
          <w:outline w:val="0"/>
          <w:color w:val="000000"/>
          <w:sz w:val="22"/>
          <w:szCs w:val="22"/>
          <w:u w:color="000000"/>
          <w14:textFill>
            <w14:solidFill>
              <w14:srgbClr w14:val="000000"/>
            </w14:solidFill>
          </w14:textFill>
        </w:rPr>
        <mc:AlternateContent>
          <mc:Choice Requires="wpg">
            <w:drawing xmlns:a="http://schemas.openxmlformats.org/drawingml/2006/main">
              <wp:anchor distT="152400" distB="152400" distL="152400" distR="152400" simplePos="0" relativeHeight="251667456" behindDoc="0" locked="0" layoutInCell="1" allowOverlap="1">
                <wp:simplePos x="0" y="0"/>
                <wp:positionH relativeFrom="margin">
                  <wp:posOffset>265942</wp:posOffset>
                </wp:positionH>
                <wp:positionV relativeFrom="line">
                  <wp:posOffset>149515</wp:posOffset>
                </wp:positionV>
                <wp:extent cx="5538715" cy="1684680"/>
                <wp:effectExtent l="0" t="0" r="0" b="0"/>
                <wp:wrapTopAndBottom distT="152400" distB="152400"/>
                <wp:docPr id="1073741849" name="officeArt object" descr="Image Gallery"/>
                <wp:cNvGraphicFramePr/>
                <a:graphic xmlns:a="http://schemas.openxmlformats.org/drawingml/2006/main">
                  <a:graphicData uri="http://schemas.microsoft.com/office/word/2010/wordprocessingGroup">
                    <wpg:wgp>
                      <wpg:cNvGrpSpPr/>
                      <wpg:grpSpPr>
                        <a:xfrm>
                          <a:off x="0" y="0"/>
                          <a:ext cx="5538715" cy="1684680"/>
                          <a:chOff x="0" y="0"/>
                          <a:chExt cx="5538714" cy="1684679"/>
                        </a:xfrm>
                      </wpg:grpSpPr>
                      <pic:pic xmlns:pic="http://schemas.openxmlformats.org/drawingml/2006/picture">
                        <pic:nvPicPr>
                          <pic:cNvPr id="1073741847" name="64129-00-001 - (S2-P01-DRAFT) - CONCEPT LAYOUT.pdf" descr="64129-00-001 - (S2-P01-DRAFT) - CONCEPT LAYOUT.pdf"/>
                          <pic:cNvPicPr>
                            <a:picLocks noChangeAspect="1"/>
                          </pic:cNvPicPr>
                        </pic:nvPicPr>
                        <pic:blipFill>
                          <a:blip r:embed="rId12">
                            <a:extLst/>
                          </a:blip>
                          <a:srcRect l="0" t="33769" r="0" b="33769"/>
                          <a:stretch>
                            <a:fillRect/>
                          </a:stretch>
                        </pic:blipFill>
                        <pic:spPr>
                          <a:xfrm>
                            <a:off x="0" y="0"/>
                            <a:ext cx="5538715" cy="1270000"/>
                          </a:xfrm>
                          <a:prstGeom prst="rect">
                            <a:avLst/>
                          </a:prstGeom>
                          <a:ln w="12700" cap="flat">
                            <a:noFill/>
                            <a:miter lim="400000"/>
                          </a:ln>
                          <a:effectLst/>
                        </pic:spPr>
                      </pic:pic>
                      <wps:wsp>
                        <wps:cNvPr id="1073741848" name="Scalloway Waterfront Design Draft 2026"/>
                        <wps:cNvSpPr/>
                        <wps:spPr>
                          <a:xfrm>
                            <a:off x="0" y="1346200"/>
                            <a:ext cx="5538715" cy="338480"/>
                          </a:xfrm>
                          <a:prstGeom prst="rect">
                            <a:avLst/>
                          </a:prstGeom>
                          <a:noFill/>
                          <a:ln w="12700" cap="flat">
                            <a:noFill/>
                            <a:miter lim="400000"/>
                          </a:ln>
                          <a:effectLst/>
                        </wps:spPr>
                        <wps:txbx>
                          <w:txbxContent>
                            <w:p>
                              <w:pPr>
                                <w:pStyle w:val="Object Caption"/>
                                <w:bidi w:val="0"/>
                              </w:pPr>
                              <w:r>
                                <w:rPr>
                                  <w:rtl w:val="0"/>
                                </w:rPr>
                                <w:t>Scalloway Waterfront Design Draft 2026</w:t>
                              </w:r>
                            </w:p>
                          </w:txbxContent>
                        </wps:txbx>
                        <wps:bodyPr wrap="square" lIns="76200" tIns="76200" rIns="76200" bIns="76200" numCol="1" anchor="t">
                          <a:noAutofit/>
                        </wps:bodyPr>
                      </wps:wsp>
                    </wpg:wgp>
                  </a:graphicData>
                </a:graphic>
              </wp:anchor>
            </w:drawing>
          </mc:Choice>
          <mc:Fallback>
            <w:pict>
              <v:group id="_x0000_s1029" style="visibility:visible;position:absolute;margin-left:20.9pt;margin-top:11.8pt;width:436.1pt;height:132.7pt;z-index:251667456;mso-position-horizontal:absolute;mso-position-horizontal-relative:margin;mso-position-vertical:absolute;mso-position-vertical-relative:line;mso-wrap-distance-left:12.0pt;mso-wrap-distance-top:12.0pt;mso-wrap-distance-right:12.0pt;mso-wrap-distance-bottom:12.0pt;" coordorigin="0,0" coordsize="5538715,1684679">
                <w10:wrap type="topAndBottom" side="bothSides" anchorx="margin"/>
                <v:shape id="_x0000_s1030" type="#_x0000_t75" style="position:absolute;left:0;top:0;width:5538715;height:1270000;">
                  <v:imagedata r:id="rId12" o:title="64129-00-001 - (S2-P01-DRAFT) - CONCEPT LAYOUT.pdf" croptop="33.8%" cropbottom="33.8%"/>
                </v:shape>
                <v:rect id="_x0000_s1031" style="position:absolute;left:0;top:1346200;width:5538715;height:338479;">
                  <v:fill on="f"/>
                  <v:stroke on="f" weight="1.0pt" dashstyle="solid" endcap="flat" miterlimit="400.0%" joinstyle="miter" linestyle="single" startarrow="none" startarrowwidth="medium" startarrowlength="medium" endarrow="none" endarrowwidth="medium" endarrowlength="medium"/>
                  <v:textbox>
                    <w:txbxContent>
                      <w:p>
                        <w:pPr>
                          <w:pStyle w:val="Object Caption"/>
                          <w:bidi w:val="0"/>
                        </w:pPr>
                        <w:r>
                          <w:rPr>
                            <w:rtl w:val="0"/>
                          </w:rPr>
                          <w:t>Scalloway Waterfront Design Draft 2026</w:t>
                        </w:r>
                      </w:p>
                    </w:txbxContent>
                  </v:textbox>
                </v:rect>
              </v:group>
            </w:pict>
          </mc:Fallback>
        </mc:AlternateContent>
      </w:r>
    </w:p>
    <w:p>
      <w:pPr>
        <w:pStyle w:val="List Paragraph"/>
        <w:spacing w:after="80"/>
      </w:pPr>
    </w:p>
    <w:p>
      <w:pPr>
        <w:pStyle w:val="Body"/>
        <w:rPr>
          <w:rFonts w:ascii="Arial" w:cs="Arial" w:hAnsi="Arial" w:eastAsia="Arial"/>
          <w:outline w:val="0"/>
          <w:color w:val="000000"/>
          <w:sz w:val="22"/>
          <w:szCs w:val="22"/>
          <w:u w:color="000000"/>
          <w14:textFill>
            <w14:solidFill>
              <w14:srgbClr w14:val="000000"/>
            </w14:solidFill>
          </w14:textFill>
        </w:rPr>
      </w:pPr>
      <w:r>
        <w:rPr>
          <w:rtl w:val="0"/>
        </w:rPr>
        <w:t>C</w:t>
      </w:r>
      <w:r>
        <w:rPr>
          <w:rFonts w:ascii="Arial" w:hAnsi="Arial"/>
          <w:outline w:val="0"/>
          <w:color w:val="000000"/>
          <w:sz w:val="22"/>
          <w:szCs w:val="22"/>
          <w:u w:color="000000"/>
          <w:rtl w:val="0"/>
          <w:lang w:val="en-US"/>
          <w14:textFill>
            <w14:solidFill>
              <w14:srgbClr w14:val="000000"/>
            </w14:solidFill>
          </w14:textFill>
        </w:rPr>
        <w:t xml:space="preserve">oastal reclamation is considered as an option, </w:t>
      </w:r>
      <w:r>
        <w:rPr>
          <w:rFonts w:ascii="Arial" w:hAnsi="Arial"/>
          <w:outline w:val="0"/>
          <w:color w:val="000000"/>
          <w:sz w:val="22"/>
          <w:szCs w:val="22"/>
          <w:u w:color="000000"/>
          <w:rtl w:val="0"/>
          <w:lang w:val="en-US"/>
          <w14:textFill>
            <w14:solidFill>
              <w14:srgbClr w14:val="000000"/>
            </w14:solidFill>
          </w14:textFill>
        </w:rPr>
        <w:t>and</w:t>
      </w:r>
      <w:r>
        <w:rPr>
          <w:rFonts w:ascii="Arial" w:hAnsi="Arial"/>
          <w:outline w:val="0"/>
          <w:color w:val="000000"/>
          <w:sz w:val="22"/>
          <w:szCs w:val="22"/>
          <w:u w:color="000000"/>
          <w:rtl w:val="0"/>
          <w:lang w:val="en-US"/>
          <w14:textFill>
            <w14:solidFill>
              <w14:srgbClr w14:val="000000"/>
            </w14:solidFill>
          </w14:textFill>
        </w:rPr>
        <w:t xml:space="preserve"> the potential to incorporate new waterfront walkways, public realm areas, boat moorings and </w:t>
      </w:r>
      <w:r>
        <w:rPr>
          <w:rFonts w:ascii="Arial" w:hAnsi="Arial"/>
          <w:outline w:val="0"/>
          <w:color w:val="000000"/>
          <w:sz w:val="22"/>
          <w:szCs w:val="22"/>
          <w:u w:color="000000"/>
          <w:rtl w:val="0"/>
          <w:lang w:val="en-US"/>
          <w14:textFill>
            <w14:solidFill>
              <w14:srgbClr w14:val="000000"/>
            </w14:solidFill>
          </w14:textFill>
        </w:rPr>
        <w:t>civic amenities</w:t>
      </w:r>
      <w:r>
        <w:rPr>
          <w:rFonts w:ascii="Arial" w:hAnsi="Arial"/>
          <w:outline w:val="0"/>
          <w:color w:val="000000"/>
          <w:sz w:val="22"/>
          <w:szCs w:val="22"/>
          <w:u w:color="000000"/>
          <w:rtl w:val="0"/>
          <w:lang w:val="en-US"/>
          <w14:textFill>
            <w14:solidFill>
              <w14:srgbClr w14:val="000000"/>
            </w14:solidFill>
          </w14:textFill>
        </w:rPr>
        <w:t xml:space="preserve">. This would make the village more attractive and help promote health benefits for visitors and residents. The waterfront walkways </w:t>
      </w:r>
      <w:r>
        <w:rPr>
          <w:rFonts w:ascii="Arial" w:hAnsi="Arial"/>
          <w:outline w:val="0"/>
          <w:color w:val="000000"/>
          <w:sz w:val="22"/>
          <w:szCs w:val="22"/>
          <w:u w:color="000000"/>
          <w:rtl w:val="0"/>
          <w:lang w:val="en-US"/>
          <w14:textFill>
            <w14:solidFill>
              <w14:srgbClr w14:val="000000"/>
            </w14:solidFill>
          </w14:textFill>
        </w:rPr>
        <w:t>would</w:t>
      </w:r>
      <w:r>
        <w:rPr>
          <w:rFonts w:ascii="Arial" w:hAnsi="Arial"/>
          <w:outline w:val="0"/>
          <w:color w:val="000000"/>
          <w:sz w:val="22"/>
          <w:szCs w:val="22"/>
          <w:u w:color="000000"/>
          <w:rtl w:val="0"/>
          <w:lang w:val="en-US"/>
          <w14:textFill>
            <w14:solidFill>
              <w14:srgbClr w14:val="000000"/>
            </w14:solidFill>
          </w14:textFill>
        </w:rPr>
        <w:t xml:space="preserve"> also incorporate flood prevention measures to reduce the impacts of </w:t>
      </w:r>
      <w:r>
        <w:rPr>
          <w:rFonts w:ascii="Arial" w:hAnsi="Arial"/>
          <w:outline w:val="0"/>
          <w:color w:val="000000"/>
          <w:sz w:val="22"/>
          <w:szCs w:val="22"/>
          <w:u w:color="000000"/>
          <w:rtl w:val="0"/>
          <w:lang w:val="en-US"/>
          <w14:textFill>
            <w14:solidFill>
              <w14:srgbClr w14:val="000000"/>
            </w14:solidFill>
          </w14:textFill>
        </w:rPr>
        <w:t xml:space="preserve">instances of </w:t>
      </w:r>
      <w:r>
        <w:rPr>
          <w:rFonts w:ascii="Arial" w:hAnsi="Arial"/>
          <w:outline w:val="0"/>
          <w:color w:val="000000"/>
          <w:sz w:val="22"/>
          <w:szCs w:val="22"/>
          <w:u w:color="000000"/>
          <w:rtl w:val="0"/>
          <w:lang w:val="en-US"/>
          <w14:textFill>
            <w14:solidFill>
              <w14:srgbClr w14:val="000000"/>
            </w14:solidFill>
          </w14:textFill>
        </w:rPr>
        <w:t>flooding</w:t>
      </w:r>
      <w:r>
        <w:rPr>
          <w:rFonts w:ascii="Arial" w:hAnsi="Arial"/>
          <w:outline w:val="0"/>
          <w:color w:val="000000"/>
          <w:sz w:val="22"/>
          <w:szCs w:val="22"/>
          <w:u w:color="000000"/>
          <w:rtl w:val="0"/>
          <w:lang w:val="en-US"/>
          <w14:textFill>
            <w14:solidFill>
              <w14:srgbClr w14:val="000000"/>
            </w14:solidFill>
          </w14:textFill>
        </w:rPr>
        <w:t>, and those projected</w:t>
      </w:r>
      <w:r>
        <w:rPr>
          <w:rFonts w:ascii="Arial" w:hAnsi="Arial"/>
          <w:outline w:val="0"/>
          <w:color w:val="000000"/>
          <w:sz w:val="22"/>
          <w:szCs w:val="22"/>
          <w:u w:color="000000"/>
          <w:rtl w:val="0"/>
          <w:lang w:val="en-US"/>
          <w14:textFill>
            <w14:solidFill>
              <w14:srgbClr w14:val="000000"/>
            </w14:solidFill>
          </w14:textFill>
        </w:rPr>
        <w:t xml:space="preserve"> through climate change and sea-level rise in the centre of the village.</w:t>
      </w:r>
    </w:p>
    <w:p>
      <w:pPr>
        <w:pStyle w:val="List Paragraph"/>
        <w:spacing w:after="80"/>
      </w:pPr>
      <w:r>
        <w:rPr>
          <w:rFonts w:ascii="Arial" w:cs="Arial" w:hAnsi="Arial" w:eastAsia="Arial"/>
          <w:outline w:val="0"/>
          <w:color w:val="000000"/>
          <w:sz w:val="22"/>
          <w:szCs w:val="22"/>
          <w:u w:color="000000"/>
          <w14:textFill>
            <w14:solidFill>
              <w14:srgbClr w14:val="000000"/>
            </w14:solidFill>
          </w14:textFill>
        </w:rPr>
        <mc:AlternateContent>
          <mc:Choice Requires="wpg">
            <w:drawing xmlns:a="http://schemas.openxmlformats.org/drawingml/2006/main">
              <wp:inline distT="0" distB="0" distL="0" distR="0">
                <wp:extent cx="3394138" cy="3493556"/>
                <wp:effectExtent l="0" t="0" r="0" b="0"/>
                <wp:docPr id="1073741852" name="officeArt object" descr="Group"/>
                <wp:cNvGraphicFramePr/>
                <a:graphic xmlns:a="http://schemas.openxmlformats.org/drawingml/2006/main">
                  <a:graphicData uri="http://schemas.microsoft.com/office/word/2010/wordprocessingGroup">
                    <wpg:wgp>
                      <wpg:cNvGrpSpPr/>
                      <wpg:grpSpPr>
                        <a:xfrm>
                          <a:off x="0" y="0"/>
                          <a:ext cx="3394138" cy="3493556"/>
                          <a:chOff x="0" y="0"/>
                          <a:chExt cx="3394137" cy="3493555"/>
                        </a:xfrm>
                      </wpg:grpSpPr>
                      <pic:pic xmlns:pic="http://schemas.openxmlformats.org/drawingml/2006/picture">
                        <pic:nvPicPr>
                          <pic:cNvPr id="1073741850" name="page20image3427792.jpg" descr="page20image3427792.jpg"/>
                          <pic:cNvPicPr>
                            <a:picLocks noChangeAspect="1"/>
                          </pic:cNvPicPr>
                        </pic:nvPicPr>
                        <pic:blipFill>
                          <a:blip r:embed="rId21">
                            <a:extLst/>
                          </a:blip>
                          <a:stretch>
                            <a:fillRect/>
                          </a:stretch>
                        </pic:blipFill>
                        <pic:spPr>
                          <a:xfrm>
                            <a:off x="12700" y="0"/>
                            <a:ext cx="3368738" cy="2867604"/>
                          </a:xfrm>
                          <a:prstGeom prst="rect">
                            <a:avLst/>
                          </a:prstGeom>
                          <a:ln w="25400" cap="flat">
                            <a:solidFill>
                              <a:srgbClr val="F3F7F5"/>
                            </a:solidFill>
                            <a:prstDash val="solid"/>
                            <a:miter lim="400000"/>
                          </a:ln>
                          <a:effectLst>
                            <a:outerShdw sx="100000" sy="100000" kx="0" ky="0" algn="b" rotWithShape="0" blurRad="50800" dist="25400" dir="3600000">
                              <a:srgbClr val="000000">
                                <a:alpha val="70000"/>
                              </a:srgbClr>
                            </a:outerShdw>
                          </a:effectLst>
                        </pic:spPr>
                      </pic:pic>
                      <wps:wsp>
                        <wps:cNvPr id="1073741851" name="Caption"/>
                        <wps:cNvSpPr/>
                        <wps:spPr>
                          <a:xfrm>
                            <a:off x="0" y="2981903"/>
                            <a:ext cx="3394138" cy="511653"/>
                          </a:xfrm>
                          <a:prstGeom prst="roundRect">
                            <a:avLst>
                              <a:gd name="adj" fmla="val 0"/>
                            </a:avLst>
                          </a:prstGeom>
                          <a:noFill/>
                          <a:ln w="12700" cap="flat">
                            <a:noFill/>
                            <a:miter lim="400000"/>
                          </a:ln>
                          <a:effectLst/>
                        </wps:spPr>
                        <wps:txbx>
                          <w:txbxContent>
                            <w:p>
                              <w:pPr>
                                <w:pStyle w:val="Object Caption"/>
                                <w:bidi w:val="0"/>
                              </w:pPr>
                              <w:r>
                                <w:rPr>
                                  <w:rtl w:val="0"/>
                                </w:rPr>
                                <w:t>Flooding is rare but a genuine issue for central Scalloway</w:t>
                              </w:r>
                            </w:p>
                          </w:txbxContent>
                        </wps:txbx>
                        <wps:bodyPr wrap="square" lIns="50800" tIns="50800" rIns="50800" bIns="50800" numCol="1" anchor="t">
                          <a:noAutofit/>
                        </wps:bodyPr>
                      </wps:wsp>
                    </wpg:wgp>
                  </a:graphicData>
                </a:graphic>
              </wp:inline>
            </w:drawing>
          </mc:Choice>
          <mc:Fallback>
            <w:pict>
              <v:group id="_x0000_s1032" style="visibility:visible;width:267.3pt;height:275.1pt;" coordorigin="0,0" coordsize="3394138,3493556">
                <v:shape id="_x0000_s1033" type="#_x0000_t75" style="position:absolute;left:12700;top:0;width:3368738;height:2867604;">
                  <v:imagedata r:id="rId21" o:title="image15.jpeg"/>
                </v:shape>
                <v:roundrect id="_x0000_s1034" style="position:absolute;left:0;top:2981904;width:3394138;height:511652;" adj="0">
                  <v:fill on="f"/>
                  <v:stroke on="f" weight="1.0pt" dashstyle="solid" endcap="flat" miterlimit="400.0%" joinstyle="miter" linestyle="single" startarrow="none" startarrowwidth="medium" startarrowlength="medium" endarrow="none" endarrowwidth="medium" endarrowlength="medium"/>
                  <v:textbox>
                    <w:txbxContent>
                      <w:p>
                        <w:pPr>
                          <w:pStyle w:val="Object Caption"/>
                          <w:bidi w:val="0"/>
                        </w:pPr>
                        <w:r>
                          <w:rPr>
                            <w:rtl w:val="0"/>
                          </w:rPr>
                          <w:t>Flooding is rare but a genuine issue for central Scalloway</w:t>
                        </w:r>
                      </w:p>
                    </w:txbxContent>
                  </v:textbox>
                </v:roundrect>
              </v:group>
            </w:pict>
          </mc:Fallback>
        </mc:AlternateContent>
      </w:r>
    </w:p>
    <w:p>
      <w:pPr>
        <w:pStyle w:val="Heading"/>
      </w:pPr>
      <w:r>
        <w:rPr>
          <w:rtl w:val="0"/>
        </w:rPr>
        <w:t>9. Proposals for the Development, Use and Conservation of Land and Buildings</w:t>
      </w:r>
    </w:p>
    <w:p>
      <w:pPr>
        <w:pStyle w:val="Body"/>
        <w:rPr>
          <w:outline w:val="0"/>
          <w:color w:val="000000"/>
          <w:sz w:val="22"/>
          <w:szCs w:val="22"/>
          <w:u w:color="000000"/>
          <w14:textFill>
            <w14:solidFill>
              <w14:srgbClr w14:val="000000"/>
            </w14:solidFill>
          </w14:textFill>
        </w:rPr>
      </w:pPr>
      <w:r>
        <w:rPr>
          <w:outline w:val="0"/>
          <w:color w:val="000000"/>
          <w:sz w:val="22"/>
          <w:szCs w:val="22"/>
          <w:u w:color="000000"/>
          <w:rtl w:val="0"/>
          <w:lang w:val="en-US"/>
          <w14:textFill>
            <w14:solidFill>
              <w14:srgbClr w14:val="000000"/>
            </w14:solidFill>
          </w14:textFill>
        </w:rPr>
        <w:t>The following proposals have been identified through community consultation and are presented in the four thematic categories established through the Re-Create Scalloway</w:t>
      </w:r>
      <w:r>
        <w:rPr>
          <w:outline w:val="0"/>
          <w:color w:val="000000"/>
          <w:sz w:val="22"/>
          <w:szCs w:val="22"/>
          <w:u w:color="000000"/>
          <w:rtl w:val="0"/>
          <w:lang w:val="en-US"/>
          <w14:textFill>
            <w14:solidFill>
              <w14:srgbClr w14:val="000000"/>
            </w14:solidFill>
          </w14:textFill>
        </w:rPr>
        <w:t>. Destination Scalloway and Scalloway Local Place Plan v2</w:t>
      </w:r>
      <w:r>
        <w:rPr>
          <w:outline w:val="0"/>
          <w:color w:val="000000"/>
          <w:sz w:val="22"/>
          <w:szCs w:val="22"/>
          <w:u w:color="000000"/>
          <w:rtl w:val="0"/>
          <w:lang w:val="en-US"/>
          <w14:textFill>
            <w14:solidFill>
              <w14:srgbClr w14:val="000000"/>
            </w14:solidFill>
          </w14:textFill>
        </w:rPr>
        <w:t xml:space="preserve"> process. These constitute the formal proposals of this Local Place Plan</w:t>
      </w:r>
      <w:r>
        <w:rPr>
          <w:outline w:val="0"/>
          <w:color w:val="000000"/>
          <w:sz w:val="22"/>
          <w:szCs w:val="22"/>
          <w:u w:color="000000"/>
          <w:rtl w:val="0"/>
          <w:lang w:val="en-US"/>
          <w14:textFill>
            <w14:solidFill>
              <w14:srgbClr w14:val="000000"/>
            </w14:solidFill>
          </w14:textFill>
        </w:rPr>
        <w:t xml:space="preserve"> v2</w:t>
      </w:r>
      <w:r>
        <w:rPr>
          <w:outline w:val="0"/>
          <w:color w:val="000000"/>
          <w:sz w:val="22"/>
          <w:szCs w:val="22"/>
          <w:u w:color="000000"/>
          <w:rtl w:val="0"/>
          <w:lang w:val="en-US"/>
          <w14:textFill>
            <w14:solidFill>
              <w14:srgbClr w14:val="000000"/>
            </w14:solidFill>
          </w14:textFill>
        </w:rPr>
        <w:t xml:space="preserve"> for the purposes of the Planning (Scotland) Act 2019</w:t>
      </w:r>
      <w:r>
        <w:rPr>
          <w:outline w:val="0"/>
          <w:color w:val="000000"/>
          <w:sz w:val="22"/>
          <w:szCs w:val="22"/>
          <w:u w:color="000000"/>
          <w:rtl w:val="0"/>
          <w:lang w:val="en-US"/>
          <w14:textFill>
            <w14:solidFill>
              <w14:srgbClr w14:val="000000"/>
            </w14:solidFill>
          </w14:textFill>
        </w:rPr>
        <w:t xml:space="preserve"> and NPF4</w:t>
      </w:r>
      <w:r>
        <w:rPr>
          <w:outline w:val="0"/>
          <w:color w:val="000000"/>
          <w:sz w:val="22"/>
          <w:szCs w:val="22"/>
          <w:u w:color="000000"/>
          <w:rtl w:val="0"/>
          <w14:textFill>
            <w14:solidFill>
              <w14:srgbClr w14:val="000000"/>
            </w14:solidFill>
          </w14:textFill>
        </w:rPr>
        <w:t>.</w:t>
      </w:r>
      <w:r>
        <w:rPr>
          <w:outline w:val="0"/>
          <w:color w:val="000000"/>
          <w:sz w:val="22"/>
          <w:szCs w:val="22"/>
          <w:u w:color="000000"/>
          <w14:textFill>
            <w14:solidFill>
              <w14:srgbClr w14:val="000000"/>
            </w14:solidFill>
          </w14:textFill>
        </w:rPr>
        <w:drawing xmlns:a="http://schemas.openxmlformats.org/drawingml/2006/main">
          <wp:anchor distT="0" distB="0" distL="0" distR="0" simplePos="0" relativeHeight="251668480" behindDoc="0" locked="0" layoutInCell="1" allowOverlap="1">
            <wp:simplePos x="0" y="0"/>
            <wp:positionH relativeFrom="margin">
              <wp:posOffset>12700</wp:posOffset>
            </wp:positionH>
            <wp:positionV relativeFrom="line">
              <wp:posOffset>247271</wp:posOffset>
            </wp:positionV>
            <wp:extent cx="3162835" cy="2104454"/>
            <wp:effectExtent l="0" t="0" r="0" b="0"/>
            <wp:wrapNone/>
            <wp:docPr id="1073741853" name="officeArt object" descr="page17image20252528.png"/>
            <wp:cNvGraphicFramePr/>
            <a:graphic xmlns:a="http://schemas.openxmlformats.org/drawingml/2006/main">
              <a:graphicData uri="http://schemas.openxmlformats.org/drawingml/2006/picture">
                <pic:pic xmlns:pic="http://schemas.openxmlformats.org/drawingml/2006/picture">
                  <pic:nvPicPr>
                    <pic:cNvPr id="1073741853" name="page17image20252528.png" descr="page17image20252528.png"/>
                    <pic:cNvPicPr>
                      <a:picLocks noChangeAspect="1"/>
                    </pic:cNvPicPr>
                  </pic:nvPicPr>
                  <pic:blipFill>
                    <a:blip r:embed="rId22">
                      <a:extLst/>
                    </a:blip>
                    <a:stretch>
                      <a:fillRect/>
                    </a:stretch>
                  </pic:blipFill>
                  <pic:spPr>
                    <a:xfrm>
                      <a:off x="0" y="0"/>
                      <a:ext cx="3162835" cy="2104454"/>
                    </a:xfrm>
                    <a:prstGeom prst="rect">
                      <a:avLst/>
                    </a:prstGeom>
                    <a:ln w="25400" cap="flat">
                      <a:solidFill>
                        <a:srgbClr val="F3F7F5"/>
                      </a:solidFill>
                      <a:prstDash val="solid"/>
                      <a:miter lim="400000"/>
                    </a:ln>
                    <a:effectLst>
                      <a:outerShdw sx="100000" sy="100000" kx="0" ky="0" algn="b" rotWithShape="0" blurRad="50800" dist="25400" dir="3600000">
                        <a:srgbClr val="000000">
                          <a:alpha val="70000"/>
                        </a:srgbClr>
                      </a:outerShdw>
                    </a:effectLst>
                  </pic:spPr>
                </pic:pic>
              </a:graphicData>
            </a:graphic>
          </wp:anchor>
        </w:drawing>
      </w:r>
    </w:p>
    <w:p>
      <w:pPr>
        <w:pStyle w:val="Heading"/>
        <w:rPr>
          <w:outline w:val="0"/>
          <w:color w:val="000000"/>
          <w:sz w:val="22"/>
          <w:szCs w:val="22"/>
          <w:u w:color="000000"/>
          <w14:textFill>
            <w14:solidFill>
              <w14:srgbClr w14:val="000000"/>
            </w14:solidFill>
          </w14:textFill>
        </w:rPr>
      </w:pPr>
    </w:p>
    <w:p>
      <w:pPr>
        <w:pStyle w:val="Heading"/>
      </w:pPr>
    </w:p>
    <w:p>
      <w:pPr>
        <w:pStyle w:val="Heading"/>
      </w:pPr>
    </w:p>
    <w:p>
      <w:pPr>
        <w:pStyle w:val="Heading 2"/>
        <w:rPr>
          <w:lang w:val="en-US"/>
        </w:rPr>
      </w:pPr>
    </w:p>
    <w:p>
      <w:pPr>
        <w:pStyle w:val="Heading 2"/>
        <w:rPr>
          <w:lang w:val="en-US"/>
        </w:rPr>
      </w:pPr>
    </w:p>
    <w:p>
      <w:pPr>
        <w:pStyle w:val="Heading 3"/>
      </w:pPr>
      <w:r>
        <w:rPr>
          <w:rtl w:val="0"/>
        </w:rPr>
        <w:t>Identity</w:t>
      </w:r>
    </w:p>
    <w:p>
      <w:pPr>
        <w:pStyle w:val="Body"/>
        <w:numPr>
          <w:ilvl w:val="0"/>
          <w:numId w:val="8"/>
        </w:numPr>
        <w:rPr>
          <w:sz w:val="22"/>
          <w:szCs w:val="22"/>
        </w:rPr>
      </w:pPr>
      <w:r>
        <w:rPr>
          <w:b w:val="1"/>
          <w:bCs w:val="1"/>
          <w:sz w:val="22"/>
          <w:szCs w:val="22"/>
          <w:rtl w:val="0"/>
          <w:lang w:val="en-US"/>
        </w:rPr>
        <w:t>Redevelopment of the Former Youth Centre</w:t>
      </w:r>
      <w:r>
        <w:rPr>
          <w:outline w:val="0"/>
          <w:color w:val="000000"/>
          <w:sz w:val="22"/>
          <w:szCs w:val="22"/>
          <w:u w:color="000000"/>
          <w:rtl w:val="0"/>
          <w:lang w:val="en-US"/>
          <w14:textFill>
            <w14:solidFill>
              <w14:srgbClr w14:val="000000"/>
            </w14:solidFill>
          </w14:textFill>
        </w:rPr>
        <w:t xml:space="preserve"> </w:t>
      </w:r>
      <w:r>
        <w:rPr>
          <w:outline w:val="0"/>
          <w:color w:val="000000"/>
          <w:sz w:val="22"/>
          <w:szCs w:val="22"/>
          <w:u w:color="000000"/>
          <w:rtl w:val="0"/>
          <w:lang w:val="en-US"/>
          <w14:textFill>
            <w14:solidFill>
              <w14:srgbClr w14:val="000000"/>
            </w14:solidFill>
          </w14:textFill>
        </w:rPr>
        <w:t>The former youth centre site has been cleared. It presents an opportunity for new community</w:t>
      </w:r>
      <w:r>
        <w:rPr>
          <w:outline w:val="0"/>
          <w:color w:val="000000"/>
          <w:sz w:val="22"/>
          <w:szCs w:val="22"/>
          <w:u w:color="000000"/>
          <w:rtl w:val="0"/>
          <w:lang w:val="en-US"/>
          <w14:textFill>
            <w14:solidFill>
              <w14:srgbClr w14:val="000000"/>
            </w14:solidFill>
          </w14:textFill>
        </w:rPr>
        <w:t>, industrial</w:t>
      </w:r>
      <w:r>
        <w:rPr>
          <w:outline w:val="0"/>
          <w:color w:val="000000"/>
          <w:sz w:val="22"/>
          <w:szCs w:val="22"/>
          <w:u w:color="000000"/>
          <w:rtl w:val="0"/>
          <w:lang w:val="en-US"/>
          <w14:textFill>
            <w14:solidFill>
              <w14:srgbClr w14:val="000000"/>
            </w14:solidFill>
          </w14:textFill>
        </w:rPr>
        <w:t xml:space="preserve"> or mixed-use development in a central village location. This was the top priority identified by the community </w:t>
      </w:r>
      <w:r>
        <w:rPr>
          <w:outline w:val="0"/>
          <w:color w:val="000000"/>
          <w:sz w:val="22"/>
          <w:szCs w:val="22"/>
          <w:u w:color="000000"/>
          <w:rtl w:val="0"/>
          <w:lang w:val="en-US"/>
          <w14:textFill>
            <w14:solidFill>
              <w14:srgbClr w14:val="000000"/>
            </w14:solidFill>
          </w14:textFill>
        </w:rPr>
        <w:t xml:space="preserve">from an origin in </w:t>
      </w:r>
      <w:r>
        <w:rPr>
          <w:outline w:val="0"/>
          <w:color w:val="000000"/>
          <w:sz w:val="22"/>
          <w:szCs w:val="22"/>
          <w:u w:color="000000"/>
          <w:rtl w:val="0"/>
          <w:lang w:val="en-US"/>
          <w14:textFill>
            <w14:solidFill>
              <w14:srgbClr w14:val="000000"/>
            </w14:solidFill>
          </w14:textFill>
        </w:rPr>
        <w:t xml:space="preserve"> November 2018.</w:t>
      </w:r>
    </w:p>
    <w:p>
      <w:pPr>
        <w:pStyle w:val="Body"/>
        <w:numPr>
          <w:ilvl w:val="0"/>
          <w:numId w:val="9"/>
        </w:numPr>
      </w:pPr>
      <w:r>
        <w:rPr>
          <w:b w:val="1"/>
          <w:bCs w:val="1"/>
          <w:rtl w:val="0"/>
          <w:lang w:val="en-US"/>
        </w:rPr>
        <w:t>Reconfiguration of Main Street</w:t>
      </w:r>
      <w:r>
        <w:rPr>
          <w:rtl w:val="0"/>
        </w:rPr>
        <w:t xml:space="preserve">. </w:t>
      </w:r>
      <w:r>
        <w:rPr>
          <w:rtl w:val="0"/>
        </w:rPr>
        <w:t>Improve safety, reduce congestion, and enhance the public realm along Main Street. Closely linked to parking provision at Burn Beach.</w:t>
      </w:r>
    </w:p>
    <w:p>
      <w:pPr>
        <w:pStyle w:val="Body"/>
      </w:pPr>
      <w:r>
        <w:rPr>
          <w:rtl w:val="0"/>
        </w:rPr>
        <w:t xml:space="preserve">3. </w:t>
      </w:r>
      <w:r>
        <w:rPr>
          <w:b w:val="1"/>
          <w:bCs w:val="1"/>
          <w:rtl w:val="0"/>
          <w:lang w:val="en-US"/>
        </w:rPr>
        <w:t>Improved public amenity.</w:t>
      </w:r>
      <w:r>
        <w:rPr>
          <w:rtl w:val="0"/>
        </w:rPr>
        <w:t xml:space="preserve">  Improved public amenity along the waterfront, and aesthetically enhanced coastal delineation with sea wall and viewpoints, and civic space for locals and visitors </w:t>
      </w:r>
    </w:p>
    <w:p>
      <w:pPr>
        <w:pStyle w:val="Heading 2"/>
        <w:rPr>
          <w:lang w:val="en-US"/>
        </w:rPr>
      </w:pPr>
    </w:p>
    <w:p>
      <w:pPr>
        <w:pStyle w:val="Heading 2"/>
      </w:pPr>
      <w:r>
        <w:rPr>
          <w:outline w:val="0"/>
          <w:color w:val="000000"/>
          <w:sz w:val="22"/>
          <w:szCs w:val="22"/>
          <w:u w:color="000000"/>
          <w14:textFill>
            <w14:solidFill>
              <w14:srgbClr w14:val="000000"/>
            </w14:solidFill>
          </w14:textFill>
        </w:rPr>
        <w:drawing xmlns:a="http://schemas.openxmlformats.org/drawingml/2006/main">
          <wp:inline distT="0" distB="0" distL="0" distR="0">
            <wp:extent cx="6045073" cy="4027531"/>
            <wp:effectExtent l="0" t="0" r="0" b="0"/>
            <wp:docPr id="1073741854" name="officeArt object" descr="page11image858000.jpg"/>
            <wp:cNvGraphicFramePr/>
            <a:graphic xmlns:a="http://schemas.openxmlformats.org/drawingml/2006/main">
              <a:graphicData uri="http://schemas.openxmlformats.org/drawingml/2006/picture">
                <pic:pic xmlns:pic="http://schemas.openxmlformats.org/drawingml/2006/picture">
                  <pic:nvPicPr>
                    <pic:cNvPr id="1073741854" name="page11image858000.jpg" descr="page11image858000.jpg"/>
                    <pic:cNvPicPr>
                      <a:picLocks noChangeAspect="1"/>
                    </pic:cNvPicPr>
                  </pic:nvPicPr>
                  <pic:blipFill>
                    <a:blip r:embed="rId23">
                      <a:extLst/>
                    </a:blip>
                    <a:stretch>
                      <a:fillRect/>
                    </a:stretch>
                  </pic:blipFill>
                  <pic:spPr>
                    <a:xfrm>
                      <a:off x="0" y="0"/>
                      <a:ext cx="6045073" cy="4027531"/>
                    </a:xfrm>
                    <a:prstGeom prst="rect">
                      <a:avLst/>
                    </a:prstGeom>
                    <a:ln w="25400" cap="flat">
                      <a:solidFill>
                        <a:srgbClr val="F3F7F5"/>
                      </a:solidFill>
                      <a:prstDash val="solid"/>
                      <a:miter lim="400000"/>
                    </a:ln>
                    <a:effectLst>
                      <a:outerShdw sx="100000" sy="100000" kx="0" ky="0" algn="b" rotWithShape="0" blurRad="50800" dist="25400" dir="3600000">
                        <a:srgbClr val="000000">
                          <a:alpha val="70000"/>
                        </a:srgbClr>
                      </a:outerShdw>
                    </a:effectLst>
                  </pic:spPr>
                </pic:pic>
              </a:graphicData>
            </a:graphic>
          </wp:inline>
        </w:drawing>
      </w:r>
    </w:p>
    <w:p>
      <w:pPr>
        <w:pStyle w:val="Heading 3"/>
      </w:pPr>
      <w:r>
        <w:rPr>
          <w:rtl w:val="0"/>
        </w:rPr>
        <w:t>Movement</w:t>
      </w:r>
    </w:p>
    <w:p>
      <w:pPr>
        <w:pStyle w:val="Body"/>
        <w:numPr>
          <w:ilvl w:val="0"/>
          <w:numId w:val="10"/>
        </w:numPr>
        <w:rPr>
          <w:sz w:val="22"/>
          <w:szCs w:val="22"/>
        </w:rPr>
      </w:pPr>
      <w:r>
        <w:rPr>
          <w:b w:val="1"/>
          <w:bCs w:val="1"/>
          <w:sz w:val="22"/>
          <w:szCs w:val="22"/>
          <w:rtl w:val="0"/>
          <w:lang w:val="en-US"/>
        </w:rPr>
        <w:t xml:space="preserve">Expansion of Burn Beach </w:t>
      </w:r>
      <w:r>
        <w:rPr>
          <w:b w:val="1"/>
          <w:bCs w:val="1"/>
          <w:sz w:val="22"/>
          <w:szCs w:val="22"/>
          <w:rtl w:val="0"/>
          <w:lang w:val="en-US"/>
        </w:rPr>
        <w:t xml:space="preserve">and Waterfront </w:t>
      </w:r>
      <w:r>
        <w:rPr>
          <w:b w:val="1"/>
          <w:bCs w:val="1"/>
          <w:sz w:val="22"/>
          <w:szCs w:val="22"/>
          <w:rtl w:val="0"/>
          <w:lang w:val="en-US"/>
        </w:rPr>
        <w:t>for Parking</w:t>
      </w:r>
      <w:r>
        <w:rPr>
          <w:b w:val="1"/>
          <w:bCs w:val="1"/>
          <w:sz w:val="22"/>
          <w:szCs w:val="22"/>
          <w:rtl w:val="0"/>
          <w:lang w:val="en-US"/>
        </w:rPr>
        <w:t>.</w:t>
      </w:r>
      <w:r>
        <w:rPr>
          <w:outline w:val="0"/>
          <w:color w:val="000000"/>
          <w:sz w:val="22"/>
          <w:szCs w:val="22"/>
          <w:u w:color="000000"/>
          <w:rtl w:val="0"/>
          <w:lang w:val="en-US"/>
          <w14:textFill>
            <w14:solidFill>
              <w14:srgbClr w14:val="000000"/>
            </w14:solidFill>
          </w14:textFill>
        </w:rPr>
        <w:t xml:space="preserve"> </w:t>
      </w:r>
      <w:r>
        <w:rPr>
          <w:outline w:val="0"/>
          <w:color w:val="000000"/>
          <w:sz w:val="22"/>
          <w:szCs w:val="22"/>
          <w:u w:color="000000"/>
          <w:rtl w:val="0"/>
          <w:lang w:val="en-US"/>
          <w14:textFill>
            <w14:solidFill>
              <w14:srgbClr w14:val="000000"/>
            </w14:solidFill>
          </w14:textFill>
        </w:rPr>
        <w:t>Coastal reclamation to increase parking capacity and support tourism. Would relieve Main Street parking pressure and enable public realm improvements.</w:t>
      </w:r>
      <w:r>
        <w:rPr>
          <w:outline w:val="0"/>
          <w:color w:val="000000"/>
          <w:sz w:val="22"/>
          <w:szCs w:val="22"/>
          <w:u w:color="000000"/>
          <w:rtl w:val="0"/>
          <w:lang w:val="en-US"/>
          <w14:textFill>
            <w14:solidFill>
              <w14:srgbClr w14:val="000000"/>
            </w14:solidFill>
          </w14:textFill>
        </w:rPr>
        <w:t xml:space="preserve"> Inclusion of motorhomes, vans cars and buses in traffic and pedestrian complementary separation.</w:t>
      </w:r>
    </w:p>
    <w:p>
      <w:pPr>
        <w:pStyle w:val="Body"/>
        <w:numPr>
          <w:ilvl w:val="0"/>
          <w:numId w:val="8"/>
        </w:numPr>
        <w:rPr>
          <w:sz w:val="22"/>
          <w:szCs w:val="22"/>
        </w:rPr>
      </w:pPr>
      <w:r>
        <w:rPr>
          <w:b w:val="1"/>
          <w:bCs w:val="1"/>
          <w:sz w:val="22"/>
          <w:szCs w:val="22"/>
          <w:rtl w:val="0"/>
          <w:lang w:val="en-US"/>
        </w:rPr>
        <w:t>Improved Waterfront Walkways</w:t>
      </w:r>
      <w:r>
        <w:rPr>
          <w:b w:val="1"/>
          <w:bCs w:val="1"/>
          <w:sz w:val="22"/>
          <w:szCs w:val="22"/>
          <w:rtl w:val="0"/>
          <w:lang w:val="en-US"/>
        </w:rPr>
        <w:t>.</w:t>
      </w:r>
      <w:r>
        <w:rPr>
          <w:outline w:val="0"/>
          <w:color w:val="000000"/>
          <w:sz w:val="22"/>
          <w:szCs w:val="22"/>
          <w:u w:color="000000"/>
          <w:rtl w:val="0"/>
          <w:lang w:val="en-US"/>
          <w14:textFill>
            <w14:solidFill>
              <w14:srgbClr w14:val="000000"/>
            </w14:solidFill>
          </w14:textFill>
        </w:rPr>
        <w:t xml:space="preserve"> </w:t>
      </w:r>
      <w:r>
        <w:rPr>
          <w:outline w:val="0"/>
          <w:color w:val="000000"/>
          <w:sz w:val="22"/>
          <w:szCs w:val="22"/>
          <w:u w:color="000000"/>
          <w:rtl w:val="0"/>
          <w:lang w:val="en-US"/>
          <w14:textFill>
            <w14:solidFill>
              <w14:srgbClr w14:val="000000"/>
            </w14:solidFill>
          </w14:textFill>
        </w:rPr>
        <w:t>Enhance access and connectivity along the waterfront, incorporating potential flood prevention measures, moorings for visiting boats, and links to Burn Beach.</w:t>
      </w:r>
    </w:p>
    <w:p>
      <w:pPr>
        <w:pStyle w:val="Body"/>
        <w:numPr>
          <w:ilvl w:val="0"/>
          <w:numId w:val="8"/>
        </w:numPr>
        <w:rPr>
          <w:sz w:val="22"/>
          <w:szCs w:val="22"/>
        </w:rPr>
      </w:pPr>
      <w:r>
        <w:rPr>
          <w:b w:val="1"/>
          <w:bCs w:val="1"/>
          <w:sz w:val="22"/>
          <w:szCs w:val="22"/>
          <w:rtl w:val="0"/>
          <w:lang w:val="en-US"/>
        </w:rPr>
        <w:t>Safe Crossing to Scalloway Primary School</w:t>
      </w:r>
      <w:r>
        <w:rPr>
          <w:outline w:val="0"/>
          <w:color w:val="000000"/>
          <w:sz w:val="22"/>
          <w:szCs w:val="22"/>
          <w:u w:color="000000"/>
          <w:rtl w:val="0"/>
          <w:lang w:val="en-US"/>
          <w14:textFill>
            <w14:solidFill>
              <w14:srgbClr w14:val="000000"/>
            </w14:solidFill>
          </w14:textFill>
        </w:rPr>
        <w:t xml:space="preserve">. </w:t>
      </w:r>
      <w:r>
        <w:rPr>
          <w:outline w:val="0"/>
          <w:color w:val="000000"/>
          <w:sz w:val="22"/>
          <w:szCs w:val="22"/>
          <w:u w:color="000000"/>
          <w:rtl w:val="0"/>
          <w:lang w:val="en-US"/>
          <w14:textFill>
            <w14:solidFill>
              <w14:srgbClr w14:val="000000"/>
            </w14:solidFill>
          </w14:textFill>
        </w:rPr>
        <w:t>Improve pedestrian safety for children and families on routes to the school.</w:t>
      </w:r>
      <w:r>
        <w:rPr>
          <w:outline w:val="0"/>
          <w:color w:val="000000"/>
          <w:sz w:val="22"/>
          <w:szCs w:val="22"/>
          <w:u w:color="000000"/>
          <w:rtl w:val="0"/>
          <w:lang w:val="en-US"/>
          <w14:textFill>
            <w14:solidFill>
              <w14:srgbClr w14:val="000000"/>
            </w14:solidFill>
          </w14:textFill>
        </w:rPr>
        <w:t xml:space="preserve"> </w:t>
      </w:r>
    </w:p>
    <w:p>
      <w:pPr>
        <w:pStyle w:val="Body"/>
        <w:numPr>
          <w:ilvl w:val="0"/>
          <w:numId w:val="8"/>
        </w:numPr>
        <w:rPr>
          <w:sz w:val="22"/>
          <w:szCs w:val="22"/>
        </w:rPr>
      </w:pPr>
      <w:r>
        <w:rPr>
          <w:b w:val="1"/>
          <w:bCs w:val="1"/>
          <w:sz w:val="22"/>
          <w:szCs w:val="22"/>
          <w:rtl w:val="0"/>
          <w:lang w:val="en-US"/>
        </w:rPr>
        <w:t>Footbridge from East Voe</w:t>
      </w:r>
      <w:r>
        <w:rPr>
          <w:outline w:val="0"/>
          <w:color w:val="000000"/>
          <w:sz w:val="22"/>
          <w:szCs w:val="22"/>
          <w:u w:color="000000"/>
          <w:rtl w:val="0"/>
          <w:lang w:val="en-US"/>
          <w14:textFill>
            <w14:solidFill>
              <w14:srgbClr w14:val="000000"/>
            </w14:solidFill>
          </w14:textFill>
        </w:rPr>
        <w:t xml:space="preserve">. </w:t>
      </w:r>
      <w:r>
        <w:rPr>
          <w:outline w:val="0"/>
          <w:color w:val="000000"/>
          <w:sz w:val="22"/>
          <w:szCs w:val="22"/>
          <w:u w:color="000000"/>
          <w:rtl w:val="0"/>
          <w:lang w:val="en-US"/>
          <w14:textFill>
            <w14:solidFill>
              <w14:srgbClr w14:val="000000"/>
            </w14:solidFill>
          </w14:textFill>
        </w:rPr>
        <w:t>Explore feasibility of a new pedestrian link connecting East Voe to the village centre.</w:t>
      </w:r>
    </w:p>
    <w:p>
      <w:pPr>
        <w:pStyle w:val="Body"/>
        <w:numPr>
          <w:ilvl w:val="0"/>
          <w:numId w:val="8"/>
        </w:numPr>
        <w:rPr>
          <w:sz w:val="22"/>
          <w:szCs w:val="22"/>
        </w:rPr>
      </w:pPr>
      <w:r>
        <w:rPr>
          <w:b w:val="1"/>
          <w:bCs w:val="1"/>
          <w:sz w:val="22"/>
          <w:szCs w:val="22"/>
          <w:rtl w:val="0"/>
          <w:lang w:val="en-US"/>
        </w:rPr>
        <w:t>Improved Way</w:t>
      </w:r>
      <w:r>
        <w:rPr>
          <w:b w:val="1"/>
          <w:bCs w:val="1"/>
          <w:sz w:val="22"/>
          <w:szCs w:val="22"/>
          <w:rtl w:val="0"/>
          <w:lang w:val="en-US"/>
        </w:rPr>
        <w:t>-</w:t>
      </w:r>
      <w:r>
        <w:rPr>
          <w:b w:val="1"/>
          <w:bCs w:val="1"/>
          <w:sz w:val="22"/>
          <w:szCs w:val="22"/>
          <w:rtl w:val="0"/>
          <w:lang w:val="en-US"/>
        </w:rPr>
        <w:t>finding</w:t>
      </w:r>
      <w:r>
        <w:rPr>
          <w:outline w:val="0"/>
          <w:color w:val="000000"/>
          <w:sz w:val="22"/>
          <w:szCs w:val="22"/>
          <w:u w:color="000000"/>
          <w:rtl w:val="0"/>
          <w:lang w:val="en-US"/>
          <w14:textFill>
            <w14:solidFill>
              <w14:srgbClr w14:val="000000"/>
            </w14:solidFill>
          </w14:textFill>
        </w:rPr>
        <w:t xml:space="preserve">. </w:t>
      </w:r>
      <w:r>
        <w:rPr>
          <w:outline w:val="0"/>
          <w:color w:val="000000"/>
          <w:sz w:val="22"/>
          <w:szCs w:val="22"/>
          <w:u w:color="000000"/>
          <w:rtl w:val="0"/>
          <w:lang w:val="en-US"/>
          <w14:textFill>
            <w14:solidFill>
              <w14:srgbClr w14:val="000000"/>
            </w14:solidFill>
          </w14:textFill>
        </w:rPr>
        <w:t>Expand interpretive signage and walking routes across Scalloway (a network of interpretive panels has been installed; potential for further expansion).</w:t>
      </w:r>
    </w:p>
    <w:p>
      <w:pPr>
        <w:pStyle w:val="Body"/>
        <w:numPr>
          <w:ilvl w:val="0"/>
          <w:numId w:val="11"/>
        </w:numPr>
        <w:rPr>
          <w:b w:val="1"/>
          <w:bCs w:val="1"/>
          <w:sz w:val="22"/>
          <w:szCs w:val="22"/>
          <w:lang w:val="en-US"/>
        </w:rPr>
      </w:pPr>
      <w:r>
        <w:rPr>
          <w:b w:val="1"/>
          <w:bCs w:val="1"/>
          <w:sz w:val="22"/>
          <w:szCs w:val="22"/>
          <w:rtl w:val="0"/>
          <w:lang w:val="en-US"/>
        </w:rPr>
        <w:t xml:space="preserve">Improved Active Travel. </w:t>
      </w:r>
      <w:r>
        <w:rPr>
          <w:b w:val="0"/>
          <w:bCs w:val="0"/>
          <w:sz w:val="22"/>
          <w:szCs w:val="22"/>
          <w:rtl w:val="0"/>
          <w:lang w:val="en-US"/>
        </w:rPr>
        <w:t xml:space="preserve">Enhance </w:t>
      </w:r>
      <w:r>
        <w:rPr>
          <w:b w:val="0"/>
          <w:bCs w:val="0"/>
          <w:sz w:val="22"/>
          <w:szCs w:val="22"/>
          <w:rtl w:val="0"/>
          <w:lang w:val="en-US"/>
        </w:rPr>
        <w:t>“</w:t>
      </w:r>
      <w:r>
        <w:rPr>
          <w:b w:val="0"/>
          <w:bCs w:val="0"/>
          <w:sz w:val="22"/>
          <w:szCs w:val="22"/>
          <w:rtl w:val="0"/>
          <w:lang w:val="en-US"/>
        </w:rPr>
        <w:t>Active Travel</w:t>
      </w:r>
      <w:r>
        <w:rPr>
          <w:b w:val="0"/>
          <w:bCs w:val="0"/>
          <w:sz w:val="22"/>
          <w:szCs w:val="22"/>
          <w:rtl w:val="0"/>
          <w:lang w:val="en-US"/>
        </w:rPr>
        <w:t xml:space="preserve">” </w:t>
      </w:r>
      <w:r>
        <w:rPr>
          <w:b w:val="0"/>
          <w:bCs w:val="0"/>
          <w:sz w:val="22"/>
          <w:szCs w:val="22"/>
          <w:rtl w:val="0"/>
          <w:lang w:val="en-US"/>
        </w:rPr>
        <w:t>routes from Sundibanks toward the village and amenities. Safe pedestrian and non-motor vehicle routes from the Tingwall Valley to Scalloway to develop leisure potential.</w:t>
      </w:r>
    </w:p>
    <w:p>
      <w:pPr>
        <w:pStyle w:val="Heading 2"/>
      </w:pPr>
      <w:r>
        <w:rPr>
          <w:outline w:val="0"/>
          <w:color w:val="000000"/>
          <w:sz w:val="22"/>
          <w:szCs w:val="22"/>
          <w:u w:color="000000"/>
          <w14:textFill>
            <w14:solidFill>
              <w14:srgbClr w14:val="000000"/>
            </w14:solidFill>
          </w14:textFill>
        </w:rPr>
        <w:drawing xmlns:a="http://schemas.openxmlformats.org/drawingml/2006/main">
          <wp:inline distT="0" distB="0" distL="0" distR="0">
            <wp:extent cx="6045073" cy="2560178"/>
            <wp:effectExtent l="0" t="0" r="0" b="0"/>
            <wp:docPr id="1073741855" name="officeArt object" descr="page20image3427376.jpg"/>
            <wp:cNvGraphicFramePr/>
            <a:graphic xmlns:a="http://schemas.openxmlformats.org/drawingml/2006/main">
              <a:graphicData uri="http://schemas.openxmlformats.org/drawingml/2006/picture">
                <pic:pic xmlns:pic="http://schemas.openxmlformats.org/drawingml/2006/picture">
                  <pic:nvPicPr>
                    <pic:cNvPr id="1073741855" name="page20image3427376.jpg" descr="page20image3427376.jpg"/>
                    <pic:cNvPicPr>
                      <a:picLocks noChangeAspect="1"/>
                    </pic:cNvPicPr>
                  </pic:nvPicPr>
                  <pic:blipFill>
                    <a:blip r:embed="rId24">
                      <a:extLst/>
                    </a:blip>
                    <a:stretch>
                      <a:fillRect/>
                    </a:stretch>
                  </pic:blipFill>
                  <pic:spPr>
                    <a:xfrm>
                      <a:off x="0" y="0"/>
                      <a:ext cx="6045073" cy="2560178"/>
                    </a:xfrm>
                    <a:prstGeom prst="rect">
                      <a:avLst/>
                    </a:prstGeom>
                    <a:ln w="25400" cap="flat">
                      <a:solidFill>
                        <a:srgbClr val="F3F7F5"/>
                      </a:solidFill>
                      <a:prstDash val="solid"/>
                      <a:miter lim="400000"/>
                    </a:ln>
                    <a:effectLst>
                      <a:outerShdw sx="100000" sy="100000" kx="0" ky="0" algn="b" rotWithShape="0" blurRad="50800" dist="25400" dir="3600000">
                        <a:srgbClr val="000000">
                          <a:alpha val="70000"/>
                        </a:srgbClr>
                      </a:outerShdw>
                    </a:effectLst>
                  </pic:spPr>
                </pic:pic>
              </a:graphicData>
            </a:graphic>
          </wp:inline>
        </w:drawing>
      </w:r>
    </w:p>
    <w:p>
      <w:pPr>
        <w:pStyle w:val="Heading 3"/>
      </w:pPr>
      <w:r>
        <w:rPr>
          <w:rtl w:val="0"/>
        </w:rPr>
        <w:t>Environment and Facilities for Young People</w:t>
      </w:r>
    </w:p>
    <w:p>
      <w:pPr>
        <w:pStyle w:val="Body"/>
        <w:numPr>
          <w:ilvl w:val="0"/>
          <w:numId w:val="12"/>
        </w:numPr>
        <w:rPr>
          <w:sz w:val="22"/>
          <w:szCs w:val="22"/>
        </w:rPr>
      </w:pPr>
      <w:r>
        <w:rPr>
          <w:b w:val="1"/>
          <w:bCs w:val="1"/>
          <w:sz w:val="22"/>
          <w:szCs w:val="22"/>
          <w:rtl w:val="0"/>
          <w:lang w:val="en-US"/>
        </w:rPr>
        <w:t>Fraser Park Improvements</w:t>
      </w:r>
      <w:r>
        <w:rPr>
          <w:b w:val="1"/>
          <w:bCs w:val="1"/>
          <w:sz w:val="22"/>
          <w:szCs w:val="22"/>
          <w:rtl w:val="0"/>
          <w:lang w:val="en-US"/>
        </w:rPr>
        <w:t>.</w:t>
      </w:r>
      <w:r>
        <w:rPr>
          <w:outline w:val="0"/>
          <w:color w:val="000000"/>
          <w:sz w:val="22"/>
          <w:szCs w:val="22"/>
          <w:u w:color="000000"/>
          <w:rtl w:val="0"/>
          <w:lang w:val="en-US"/>
          <w14:textFill>
            <w14:solidFill>
              <w14:srgbClr w14:val="000000"/>
            </w14:solidFill>
          </w14:textFill>
        </w:rPr>
        <w:t xml:space="preserve"> </w:t>
      </w:r>
      <w:r>
        <w:rPr>
          <w:outline w:val="0"/>
          <w:color w:val="000000"/>
          <w:sz w:val="22"/>
          <w:szCs w:val="22"/>
          <w:u w:color="000000"/>
          <w:rtl w:val="0"/>
          <w:lang w:val="en-US"/>
          <w14:textFill>
            <w14:solidFill>
              <w14:srgbClr w14:val="000000"/>
            </w14:solidFill>
          </w14:textFill>
        </w:rPr>
        <w:t>Upgrade play equipment and landscaping for youth use</w:t>
      </w:r>
      <w:r>
        <w:rPr>
          <w:outline w:val="0"/>
          <w:color w:val="000000"/>
          <w:sz w:val="22"/>
          <w:szCs w:val="22"/>
          <w:u w:color="000000"/>
          <w:rtl w:val="0"/>
          <w:lang w:val="en-US"/>
          <w14:textFill>
            <w14:solidFill>
              <w14:srgbClr w14:val="000000"/>
            </w14:solidFill>
          </w14:textFill>
        </w:rPr>
        <w:t>. Improve boundaries</w:t>
      </w:r>
      <w:r>
        <w:rPr>
          <w:outline w:val="0"/>
          <w:color w:val="000000"/>
          <w:sz w:val="22"/>
          <w:szCs w:val="22"/>
          <w:u w:color="000000"/>
          <w:rtl w:val="0"/>
          <w:lang w:val="en-US"/>
          <w14:textFill>
            <w14:solidFill>
              <w14:srgbClr w14:val="000000"/>
            </w14:solidFill>
          </w14:textFill>
        </w:rPr>
        <w:t>.</w:t>
      </w:r>
      <w:r>
        <w:rPr>
          <w:outline w:val="0"/>
          <w:color w:val="000000"/>
          <w:sz w:val="22"/>
          <w:szCs w:val="22"/>
          <w:u w:color="000000"/>
          <w:rtl w:val="0"/>
          <w:lang w:val="en-US"/>
          <w14:textFill>
            <w14:solidFill>
              <w14:srgbClr w14:val="000000"/>
            </w14:solidFill>
          </w14:textFill>
        </w:rPr>
        <w:t xml:space="preserve"> Explore reconfiguration and improvement of the playing field.</w:t>
      </w:r>
    </w:p>
    <w:p>
      <w:pPr>
        <w:pStyle w:val="Body"/>
        <w:numPr>
          <w:ilvl w:val="0"/>
          <w:numId w:val="8"/>
        </w:numPr>
        <w:rPr>
          <w:sz w:val="22"/>
          <w:szCs w:val="22"/>
        </w:rPr>
      </w:pPr>
      <w:r>
        <w:rPr>
          <w:b w:val="1"/>
          <w:bCs w:val="1"/>
          <w:sz w:val="22"/>
          <w:szCs w:val="22"/>
          <w:rtl w:val="0"/>
          <w:lang w:val="en-US"/>
        </w:rPr>
        <w:t>Potential Sandy Beach at Westshore</w:t>
      </w:r>
      <w:r>
        <w:rPr>
          <w:outline w:val="0"/>
          <w:color w:val="000000"/>
          <w:sz w:val="22"/>
          <w:szCs w:val="22"/>
          <w:u w:color="000000"/>
          <w:rtl w:val="0"/>
          <w:lang w:val="en-US"/>
          <w14:textFill>
            <w14:solidFill>
              <w14:srgbClr w14:val="000000"/>
            </w14:solidFill>
          </w14:textFill>
        </w:rPr>
        <w:t xml:space="preserve">. </w:t>
      </w:r>
      <w:r>
        <w:rPr>
          <w:outline w:val="0"/>
          <w:color w:val="000000"/>
          <w:sz w:val="22"/>
          <w:szCs w:val="22"/>
          <w:u w:color="000000"/>
          <w:rtl w:val="0"/>
          <w:lang w:val="en-US"/>
          <w14:textFill>
            <w14:solidFill>
              <w14:srgbClr w14:val="000000"/>
            </w14:solidFill>
          </w14:textFill>
        </w:rPr>
        <w:t>Investigate feasibility and environmental impact of creating a sandy beach at Westshore.</w:t>
      </w:r>
    </w:p>
    <w:p>
      <w:pPr>
        <w:pStyle w:val="Body"/>
        <w:numPr>
          <w:ilvl w:val="0"/>
          <w:numId w:val="8"/>
        </w:numPr>
        <w:rPr>
          <w:sz w:val="22"/>
          <w:szCs w:val="22"/>
        </w:rPr>
      </w:pPr>
      <w:r>
        <w:rPr>
          <w:b w:val="1"/>
          <w:bCs w:val="1"/>
          <w:sz w:val="22"/>
          <w:szCs w:val="22"/>
          <w:rtl w:val="0"/>
          <w:lang w:val="it-IT"/>
        </w:rPr>
        <w:t>Nature Garden</w:t>
      </w:r>
      <w:r>
        <w:rPr>
          <w:b w:val="1"/>
          <w:bCs w:val="1"/>
          <w:sz w:val="22"/>
          <w:szCs w:val="22"/>
          <w:rtl w:val="0"/>
          <w:lang w:val="it-IT"/>
        </w:rPr>
        <w:t>.</w:t>
      </w:r>
      <w:r>
        <w:rPr>
          <w:outline w:val="0"/>
          <w:color w:val="000000"/>
          <w:sz w:val="22"/>
          <w:szCs w:val="22"/>
          <w:u w:color="000000"/>
          <w:rtl w:val="0"/>
          <w:lang w:val="it-IT"/>
          <w14:textFill>
            <w14:solidFill>
              <w14:srgbClr w14:val="000000"/>
            </w14:solidFill>
          </w14:textFill>
        </w:rPr>
        <w:t xml:space="preserve"> </w:t>
      </w:r>
      <w:r>
        <w:rPr>
          <w:outline w:val="0"/>
          <w:color w:val="000000"/>
          <w:sz w:val="22"/>
          <w:szCs w:val="22"/>
          <w:u w:color="000000"/>
          <w:rtl w:val="0"/>
          <w:lang w:val="en-US"/>
          <w14:textFill>
            <w14:solidFill>
              <w14:srgbClr w14:val="000000"/>
            </w14:solidFill>
          </w14:textFill>
        </w:rPr>
        <w:t>Identify a site and create a biodiversity-focused space for education and recreation, in partnership with schools and volunteers.</w:t>
      </w:r>
    </w:p>
    <w:p>
      <w:pPr>
        <w:pStyle w:val="Heading 3"/>
      </w:pPr>
      <w:r>
        <w:rPr>
          <w:rtl w:val="0"/>
        </w:rPr>
        <w:t>Planning for Investment</w:t>
      </w:r>
    </w:p>
    <w:p>
      <w:pPr>
        <w:pStyle w:val="Body"/>
        <w:numPr>
          <w:ilvl w:val="0"/>
          <w:numId w:val="13"/>
        </w:numPr>
        <w:rPr>
          <w:sz w:val="22"/>
          <w:szCs w:val="22"/>
        </w:rPr>
      </w:pPr>
      <w:r>
        <w:rPr>
          <w:b w:val="1"/>
          <w:bCs w:val="1"/>
          <w:sz w:val="22"/>
          <w:szCs w:val="22"/>
          <w:rtl w:val="0"/>
          <w:lang w:val="en-US"/>
        </w:rPr>
        <w:t>Soft Play Facility</w:t>
      </w:r>
      <w:r>
        <w:rPr>
          <w:b w:val="1"/>
          <w:bCs w:val="1"/>
          <w:sz w:val="22"/>
          <w:szCs w:val="22"/>
          <w:rtl w:val="0"/>
          <w:lang w:val="en-US"/>
        </w:rPr>
        <w:t>.</w:t>
      </w:r>
      <w:r>
        <w:rPr>
          <w:outline w:val="0"/>
          <w:color w:val="000000"/>
          <w:sz w:val="22"/>
          <w:szCs w:val="22"/>
          <w:u w:color="000000"/>
          <w:rtl w:val="0"/>
          <w:lang w:val="en-US"/>
          <w14:textFill>
            <w14:solidFill>
              <w14:srgbClr w14:val="000000"/>
            </w14:solidFill>
          </w14:textFill>
        </w:rPr>
        <w:t xml:space="preserve"> </w:t>
      </w:r>
      <w:r>
        <w:rPr>
          <w:outline w:val="0"/>
          <w:color w:val="000000"/>
          <w:sz w:val="22"/>
          <w:szCs w:val="22"/>
          <w:u w:color="000000"/>
          <w:rtl w:val="0"/>
          <w:lang w:val="en-US"/>
          <w14:textFill>
            <w14:solidFill>
              <w14:srgbClr w14:val="000000"/>
            </w14:solidFill>
          </w14:textFill>
        </w:rPr>
        <w:t>Explore a multi-use model for indoor play and community use, with phased delivery and community ownership</w:t>
      </w:r>
      <w:r>
        <w:rPr>
          <w:outline w:val="0"/>
          <w:color w:val="000000"/>
          <w:sz w:val="22"/>
          <w:szCs w:val="22"/>
          <w:u w:color="000000"/>
          <w:rtl w:val="0"/>
          <w:lang w:val="en-US"/>
          <w14:textFill>
            <w14:solidFill>
              <w14:srgbClr w14:val="000000"/>
            </w14:solidFill>
          </w14:textFill>
        </w:rPr>
        <w:t xml:space="preserve">. </w:t>
      </w:r>
    </w:p>
    <w:p>
      <w:pPr>
        <w:pStyle w:val="Body"/>
        <w:numPr>
          <w:ilvl w:val="0"/>
          <w:numId w:val="8"/>
        </w:numPr>
        <w:rPr>
          <w:sz w:val="22"/>
          <w:szCs w:val="22"/>
        </w:rPr>
      </w:pPr>
      <w:r>
        <w:rPr>
          <w:b w:val="1"/>
          <w:bCs w:val="1"/>
          <w:sz w:val="22"/>
          <w:szCs w:val="22"/>
          <w:rtl w:val="0"/>
          <w:lang w:val="en-US"/>
        </w:rPr>
        <w:t>Housing Development at Port Arthur and Adjacent Sites</w:t>
      </w:r>
      <w:r>
        <w:rPr>
          <w:outline w:val="0"/>
          <w:color w:val="000000"/>
          <w:sz w:val="22"/>
          <w:szCs w:val="22"/>
          <w:u w:color="000000"/>
          <w:rtl w:val="0"/>
          <w:lang w:val="en-US"/>
          <w14:textFill>
            <w14:solidFill>
              <w14:srgbClr w14:val="000000"/>
            </w14:solidFill>
          </w14:textFill>
        </w:rPr>
        <w:t xml:space="preserve">. </w:t>
      </w:r>
      <w:r>
        <w:rPr>
          <w:outline w:val="0"/>
          <w:color w:val="000000"/>
          <w:sz w:val="22"/>
          <w:szCs w:val="22"/>
          <w:u w:color="000000"/>
          <w:rtl w:val="0"/>
          <w:lang w:val="en-US"/>
          <w14:textFill>
            <w14:solidFill>
              <w14:srgbClr w14:val="000000"/>
            </w14:solidFill>
          </w14:textFill>
        </w:rPr>
        <w:t xml:space="preserve">Promote sites for affordable and sustainable housing, including land previously considered </w:t>
      </w:r>
      <w:r>
        <w:rPr>
          <w:outline w:val="0"/>
          <w:color w:val="000000"/>
          <w:sz w:val="22"/>
          <w:szCs w:val="22"/>
          <w:u w:color="000000"/>
          <w:rtl w:val="0"/>
          <w:lang w:val="en-US"/>
          <w14:textFill>
            <w14:solidFill>
              <w14:srgbClr w14:val="000000"/>
            </w14:solidFill>
          </w14:textFill>
        </w:rPr>
        <w:t xml:space="preserve">and available </w:t>
      </w:r>
      <w:r>
        <w:rPr>
          <w:outline w:val="0"/>
          <w:color w:val="000000"/>
          <w:sz w:val="22"/>
          <w:szCs w:val="22"/>
          <w:u w:color="000000"/>
          <w:rtl w:val="0"/>
          <w:lang w:val="en-US"/>
          <w14:textFill>
            <w14:solidFill>
              <w14:srgbClr w14:val="000000"/>
            </w14:solidFill>
          </w14:textFill>
        </w:rPr>
        <w:t>at Port Arthur, adjacent sites and land to the west of Port Arthur.</w:t>
      </w:r>
      <w:r>
        <w:rPr>
          <w:outline w:val="0"/>
          <w:color w:val="000000"/>
          <w:sz w:val="22"/>
          <w:szCs w:val="22"/>
          <w:u w:color="000000"/>
          <w:rtl w:val="0"/>
          <w:lang w:val="en-US"/>
          <w14:textFill>
            <w14:solidFill>
              <w14:srgbClr w14:val="000000"/>
            </w14:solidFill>
          </w14:textFill>
        </w:rPr>
        <w:t xml:space="preserve"> Exploration of sites suggested by public input around Berry Farm, if available. Windfall sites in centre of village, where available.</w:t>
      </w:r>
    </w:p>
    <w:p>
      <w:pPr>
        <w:pStyle w:val="Body"/>
        <w:numPr>
          <w:ilvl w:val="0"/>
          <w:numId w:val="8"/>
        </w:numPr>
        <w:rPr>
          <w:sz w:val="22"/>
          <w:szCs w:val="22"/>
        </w:rPr>
      </w:pPr>
      <w:r>
        <w:rPr>
          <w:b w:val="1"/>
          <w:bCs w:val="1"/>
          <w:sz w:val="22"/>
          <w:szCs w:val="22"/>
          <w:rtl w:val="0"/>
          <w:lang w:val="en-US"/>
        </w:rPr>
        <w:t>Tourism Infrastructure</w:t>
      </w:r>
      <w:r>
        <w:rPr>
          <w:outline w:val="0"/>
          <w:color w:val="000000"/>
          <w:sz w:val="22"/>
          <w:szCs w:val="22"/>
          <w:u w:color="000000"/>
          <w:rtl w:val="0"/>
          <w:lang w:val="en-US"/>
          <w14:textFill>
            <w14:solidFill>
              <w14:srgbClr w14:val="000000"/>
            </w14:solidFill>
          </w14:textFill>
        </w:rPr>
        <w:t xml:space="preserve">. </w:t>
      </w:r>
      <w:r>
        <w:rPr>
          <w:outline w:val="0"/>
          <w:color w:val="000000"/>
          <w:sz w:val="22"/>
          <w:szCs w:val="22"/>
          <w:u w:color="000000"/>
          <w:rtl w:val="0"/>
          <w:lang w:val="en-US"/>
          <w14:textFill>
            <w14:solidFill>
              <w14:srgbClr w14:val="000000"/>
            </w14:solidFill>
          </w14:textFill>
        </w:rPr>
        <w:t>Develop moorings and visitor amenities in the village centre to support the tourism economy.</w:t>
      </w:r>
      <w:r>
        <w:rPr>
          <w:outline w:val="0"/>
          <w:color w:val="000000"/>
          <w:sz w:val="22"/>
          <w:szCs w:val="22"/>
          <w:u w:color="000000"/>
          <w:rtl w:val="0"/>
          <w:lang w:val="en-US"/>
          <w14:textFill>
            <w14:solidFill>
              <w14:srgbClr w14:val="000000"/>
            </w14:solidFill>
          </w14:textFill>
        </w:rPr>
        <w:t xml:space="preserve"> Develop marine tourism market with infrastructure and publicity. Recognise and enhance further potential of Scalloway Castle. Development of tourism through further visitor attractions. Liaison with Swan Trust for berthing. Develop market for direct cruise vessels visits to Blacksness and potential of new West Pier. </w:t>
      </w:r>
    </w:p>
    <w:p>
      <w:pPr>
        <w:pStyle w:val="Body"/>
        <w:numPr>
          <w:ilvl w:val="0"/>
          <w:numId w:val="8"/>
        </w:numPr>
        <w:rPr>
          <w:sz w:val="22"/>
          <w:szCs w:val="22"/>
        </w:rPr>
      </w:pPr>
      <w:r>
        <w:rPr>
          <w:b w:val="1"/>
          <w:bCs w:val="1"/>
          <w:sz w:val="22"/>
          <w:szCs w:val="22"/>
          <w:rtl w:val="0"/>
          <w:lang w:val="en-US"/>
        </w:rPr>
        <w:t xml:space="preserve">Scalloway </w:t>
      </w:r>
      <w:r>
        <w:rPr>
          <w:b w:val="1"/>
          <w:bCs w:val="1"/>
          <w:sz w:val="22"/>
          <w:szCs w:val="22"/>
          <w:rtl w:val="0"/>
          <w:lang w:val="en-US"/>
        </w:rPr>
        <w:t>Harbour Masterplan Implementatio</w:t>
      </w:r>
      <w:r>
        <w:rPr>
          <w:b w:val="1"/>
          <w:bCs w:val="1"/>
          <w:sz w:val="22"/>
          <w:szCs w:val="22"/>
          <w:rtl w:val="0"/>
          <w:lang w:val="en-US"/>
        </w:rPr>
        <w:t>n.</w:t>
      </w:r>
      <w:r>
        <w:rPr>
          <w:outline w:val="0"/>
          <w:color w:val="000000"/>
          <w:sz w:val="22"/>
          <w:szCs w:val="22"/>
          <w:u w:color="000000"/>
          <w:rtl w:val="0"/>
          <w:lang w:val="en-US"/>
          <w14:textFill>
            <w14:solidFill>
              <w14:srgbClr w14:val="000000"/>
            </w14:solidFill>
          </w14:textFill>
        </w:rPr>
        <w:t xml:space="preserve"> </w:t>
      </w:r>
      <w:r>
        <w:rPr>
          <w:outline w:val="0"/>
          <w:color w:val="000000"/>
          <w:sz w:val="22"/>
          <w:szCs w:val="22"/>
          <w:u w:color="000000"/>
          <w:rtl w:val="0"/>
          <w:lang w:val="en-US"/>
          <w14:textFill>
            <w14:solidFill>
              <w14:srgbClr w14:val="000000"/>
            </w14:solidFill>
          </w14:textFill>
        </w:rPr>
        <w:t>Advance industrial and marine development at Blacksness in line with community priorities and in collaboration with SIC Ports and Harbours.</w:t>
      </w:r>
      <w:r>
        <w:rPr>
          <w:outline w:val="0"/>
          <w:color w:val="000000"/>
          <w:sz w:val="22"/>
          <w:szCs w:val="22"/>
          <w:u w:color="000000"/>
          <w:rtl w:val="0"/>
          <w:lang w:val="en-US"/>
          <w14:textFill>
            <w14:solidFill>
              <w14:srgbClr w14:val="000000"/>
            </w14:solidFill>
          </w14:textFill>
        </w:rPr>
        <w:t xml:space="preserve"> The main initial focus of this, as also highlighted by the Shetland Islands Council, is a replacement of the West Pier which is currently under-utilised due to historic damage. A replacement is expected to be complementary to the improvements to  waterfront space between Burn Beach and Ministers Beach. </w:t>
      </w:r>
    </w:p>
    <w:p>
      <w:pPr>
        <w:pStyle w:val="Body"/>
        <w:numPr>
          <w:ilvl w:val="0"/>
          <w:numId w:val="8"/>
        </w:numPr>
        <w:rPr>
          <w:sz w:val="22"/>
          <w:szCs w:val="22"/>
        </w:rPr>
      </w:pPr>
      <w:r>
        <w:rPr>
          <w:b w:val="1"/>
          <w:bCs w:val="1"/>
          <w:sz w:val="22"/>
          <w:szCs w:val="22"/>
          <w:rtl w:val="0"/>
          <w:lang w:val="en-US"/>
        </w:rPr>
        <w:t>Community Energy</w:t>
      </w:r>
      <w:r>
        <w:rPr>
          <w:outline w:val="0"/>
          <w:color w:val="000000"/>
          <w:sz w:val="22"/>
          <w:szCs w:val="22"/>
          <w:u w:color="000000"/>
          <w:rtl w:val="0"/>
          <w:lang w:val="en-US"/>
          <w14:textFill>
            <w14:solidFill>
              <w14:srgbClr w14:val="000000"/>
            </w14:solidFill>
          </w14:textFill>
        </w:rPr>
        <w:t xml:space="preserve">. </w:t>
      </w:r>
      <w:r>
        <w:rPr>
          <w:outline w:val="0"/>
          <w:color w:val="000000"/>
          <w:sz w:val="22"/>
          <w:szCs w:val="22"/>
          <w:u w:color="000000"/>
          <w:rtl w:val="0"/>
          <w:lang w:val="en-US"/>
          <w14:textFill>
            <w14:solidFill>
              <w14:srgbClr w14:val="000000"/>
            </w14:solidFill>
          </w14:textFill>
        </w:rPr>
        <w:t>Collaboration with partners toward the development of a district heating scheme for the village.</w:t>
      </w:r>
      <w:r>
        <w:rPr>
          <w:outline w:val="0"/>
          <w:color w:val="000000"/>
          <w:sz w:val="22"/>
          <w:szCs w:val="22"/>
          <w:u w:color="000000"/>
          <w:rtl w:val="0"/>
          <w:lang w:val="en-US"/>
          <w14:textFill>
            <w14:solidFill>
              <w14:srgbClr w14:val="000000"/>
            </w14:solidFill>
          </w14:textFill>
        </w:rPr>
        <w:t xml:space="preserve"> E</w:t>
      </w:r>
      <w:r>
        <w:rPr>
          <w:outline w:val="0"/>
          <w:color w:val="000000"/>
          <w:sz w:val="22"/>
          <w:szCs w:val="22"/>
          <w:u w:color="000000"/>
          <w:rtl w:val="0"/>
          <w:lang w:val="en-US"/>
          <w14:textFill>
            <w14:solidFill>
              <w14:srgbClr w14:val="000000"/>
            </w14:solidFill>
          </w14:textFill>
        </w:rPr>
        <w:t>nergy conservation</w:t>
      </w:r>
      <w:r>
        <w:rPr>
          <w:outline w:val="0"/>
          <w:color w:val="000000"/>
          <w:sz w:val="22"/>
          <w:szCs w:val="22"/>
          <w:u w:color="000000"/>
          <w:rtl w:val="0"/>
          <w:lang w:val="en-US"/>
          <w14:textFill>
            <w14:solidFill>
              <w14:srgbClr w14:val="000000"/>
            </w14:solidFill>
          </w14:textFill>
        </w:rPr>
        <w:t>, production</w:t>
      </w:r>
      <w:r>
        <w:rPr>
          <w:outline w:val="0"/>
          <w:color w:val="000000"/>
          <w:sz w:val="22"/>
          <w:szCs w:val="22"/>
          <w:u w:color="000000"/>
          <w:rtl w:val="0"/>
          <w:lang w:val="en-US"/>
          <w14:textFill>
            <w14:solidFill>
              <w14:srgbClr w14:val="000000"/>
            </w14:solidFill>
          </w14:textFill>
        </w:rPr>
        <w:t xml:space="preserve"> and efficiency measures to meet the </w:t>
      </w:r>
      <w:r>
        <w:rPr>
          <w:outline w:val="0"/>
          <w:color w:val="000000"/>
          <w:sz w:val="22"/>
          <w:szCs w:val="22"/>
          <w:u w:color="000000"/>
          <w:rtl w:val="0"/>
          <w:lang w:val="en-US"/>
          <w14:textFill>
            <w14:solidFill>
              <w14:srgbClr w14:val="000000"/>
            </w14:solidFill>
          </w14:textFill>
        </w:rPr>
        <w:t xml:space="preserve">identified </w:t>
      </w:r>
      <w:r>
        <w:rPr>
          <w:outline w:val="0"/>
          <w:color w:val="000000"/>
          <w:sz w:val="22"/>
          <w:szCs w:val="22"/>
          <w:u w:color="000000"/>
          <w:rtl w:val="0"/>
          <w:lang w:val="en-US"/>
          <w14:textFill>
            <w14:solidFill>
              <w14:srgbClr w14:val="000000"/>
            </w14:solidFill>
          </w14:textFill>
        </w:rPr>
        <w:t xml:space="preserve">need to reduce fuel poverty and </w:t>
      </w:r>
      <w:r>
        <w:rPr>
          <w:outline w:val="0"/>
          <w:color w:val="000000"/>
          <w:sz w:val="22"/>
          <w:szCs w:val="22"/>
          <w:u w:color="000000"/>
          <w:rtl w:val="0"/>
          <w:lang w:val="en-US"/>
          <w14:textFill>
            <w14:solidFill>
              <w14:srgbClr w14:val="000000"/>
            </w14:solidFill>
          </w14:textFill>
        </w:rPr>
        <w:t>achieve N</w:t>
      </w:r>
      <w:r>
        <w:rPr>
          <w:outline w:val="0"/>
          <w:color w:val="000000"/>
          <w:sz w:val="22"/>
          <w:szCs w:val="22"/>
          <w:u w:color="000000"/>
          <w:rtl w:val="0"/>
          <w:lang w:val="nl-NL"/>
          <w14:textFill>
            <w14:solidFill>
              <w14:srgbClr w14:val="000000"/>
            </w14:solidFill>
          </w14:textFill>
        </w:rPr>
        <w:t xml:space="preserve">et </w:t>
      </w:r>
      <w:r>
        <w:rPr>
          <w:outline w:val="0"/>
          <w:color w:val="000000"/>
          <w:sz w:val="22"/>
          <w:szCs w:val="22"/>
          <w:u w:color="000000"/>
          <w:rtl w:val="0"/>
          <w:lang w:val="en-US"/>
          <w14:textFill>
            <w14:solidFill>
              <w14:srgbClr w14:val="000000"/>
            </w14:solidFill>
          </w14:textFill>
        </w:rPr>
        <w:t>Z</w:t>
      </w:r>
      <w:r>
        <w:rPr>
          <w:outline w:val="0"/>
          <w:color w:val="000000"/>
          <w:sz w:val="22"/>
          <w:szCs w:val="22"/>
          <w:u w:color="000000"/>
          <w:rtl w:val="0"/>
          <w:lang w:val="en-US"/>
          <w14:textFill>
            <w14:solidFill>
              <w14:srgbClr w14:val="000000"/>
            </w14:solidFill>
          </w14:textFill>
        </w:rPr>
        <w:t>ero targets</w:t>
      </w:r>
      <w:r>
        <w:rPr>
          <w:outline w:val="0"/>
          <w:color w:val="000000"/>
          <w:sz w:val="22"/>
          <w:szCs w:val="22"/>
          <w:u w:color="000000"/>
          <w:rtl w:val="0"/>
          <w:lang w:val="en-US"/>
          <w14:textFill>
            <w14:solidFill>
              <w14:srgbClr w14:val="000000"/>
            </w14:solidFill>
          </w14:textFill>
        </w:rPr>
        <w:t>.</w:t>
      </w:r>
    </w:p>
    <w:p>
      <w:pPr>
        <w:pStyle w:val="Body"/>
        <w:numPr>
          <w:ilvl w:val="0"/>
          <w:numId w:val="8"/>
        </w:numPr>
        <w:rPr>
          <w:sz w:val="22"/>
          <w:szCs w:val="22"/>
        </w:rPr>
      </w:pPr>
      <w:r>
        <w:rPr>
          <w:b w:val="1"/>
          <w:bCs w:val="1"/>
          <w:sz w:val="22"/>
          <w:szCs w:val="22"/>
          <w:rtl w:val="0"/>
          <w:lang w:val="en-US"/>
        </w:rPr>
        <w:t>Marine Access and Management</w:t>
      </w:r>
      <w:r>
        <w:rPr>
          <w:outline w:val="0"/>
          <w:color w:val="000000"/>
          <w:sz w:val="22"/>
          <w:szCs w:val="22"/>
          <w:u w:color="000000"/>
          <w:rtl w:val="0"/>
          <w:lang w:val="en-US"/>
          <w14:textFill>
            <w14:solidFill>
              <w14:srgbClr w14:val="000000"/>
            </w14:solidFill>
          </w14:textFill>
        </w:rPr>
        <w:t>.</w:t>
      </w:r>
      <w:r>
        <w:rPr>
          <w:outline w:val="0"/>
          <w:color w:val="000000"/>
          <w:sz w:val="22"/>
          <w:szCs w:val="22"/>
          <w:u w:color="000000"/>
          <w:rtl w:val="0"/>
          <w:lang w:val="en-US"/>
          <w14:textFill>
            <w14:solidFill>
              <w14:srgbClr w14:val="000000"/>
            </w14:solidFill>
          </w14:textFill>
        </w:rPr>
        <w:t>Collaboration with partners toward provision of a third marina, potentially at Westshore or Eastshore subject to Blacksness developments.</w:t>
      </w:r>
      <w:r>
        <w:rPr>
          <w:outline w:val="0"/>
          <w:color w:val="000000"/>
          <w:sz w:val="22"/>
          <w:szCs w:val="22"/>
          <w:u w:color="000000"/>
          <w:rtl w:val="0"/>
          <w:lang w:val="en-US"/>
          <w14:textFill>
            <w14:solidFill>
              <w14:srgbClr w14:val="000000"/>
            </w14:solidFill>
          </w14:textFill>
        </w:rPr>
        <w:t xml:space="preserve"> Potential of boat lift facilities to support inshore industry. Improved recovery of marine litter in harbour environs. Slipway and quayside access for leisure and visitor craft.</w:t>
      </w:r>
    </w:p>
    <w:p>
      <w:pPr>
        <w:pStyle w:val="Body"/>
        <w:numPr>
          <w:ilvl w:val="0"/>
          <w:numId w:val="8"/>
        </w:numPr>
        <w:rPr>
          <w:sz w:val="22"/>
          <w:szCs w:val="22"/>
        </w:rPr>
      </w:pPr>
      <w:r>
        <w:rPr>
          <w:b w:val="1"/>
          <w:bCs w:val="1"/>
          <w:sz w:val="22"/>
          <w:szCs w:val="22"/>
          <w:rtl w:val="0"/>
          <w:lang w:val="en-US"/>
        </w:rPr>
        <w:t>Motorhome Reception</w:t>
      </w:r>
      <w:r>
        <w:rPr>
          <w:outline w:val="0"/>
          <w:color w:val="000000"/>
          <w:sz w:val="22"/>
          <w:szCs w:val="22"/>
          <w:u w:color="000000"/>
          <w:rtl w:val="0"/>
          <w:lang w:val="en-US"/>
          <w14:textFill>
            <w14:solidFill>
              <w14:srgbClr w14:val="000000"/>
            </w14:solidFill>
          </w14:textFill>
        </w:rPr>
        <w:t xml:space="preserve">. </w:t>
      </w:r>
      <w:r>
        <w:rPr>
          <w:outline w:val="0"/>
          <w:color w:val="000000"/>
          <w:sz w:val="22"/>
          <w:szCs w:val="22"/>
          <w:u w:color="000000"/>
          <w:rtl w:val="0"/>
          <w:lang w:val="en-US"/>
          <w14:textFill>
            <w14:solidFill>
              <w14:srgbClr w14:val="000000"/>
            </w14:solidFill>
          </w14:textFill>
        </w:rPr>
        <w:t xml:space="preserve">Further developments </w:t>
      </w:r>
      <w:r>
        <w:rPr>
          <w:outline w:val="0"/>
          <w:color w:val="000000"/>
          <w:sz w:val="22"/>
          <w:szCs w:val="22"/>
          <w:u w:color="000000"/>
          <w:rtl w:val="0"/>
          <w:lang w:val="en-US"/>
          <w14:textFill>
            <w14:solidFill>
              <w14:srgbClr w14:val="000000"/>
            </w14:solidFill>
          </w14:textFill>
        </w:rPr>
        <w:t xml:space="preserve">and enhancement </w:t>
      </w:r>
      <w:r>
        <w:rPr>
          <w:outline w:val="0"/>
          <w:color w:val="000000"/>
          <w:sz w:val="22"/>
          <w:szCs w:val="22"/>
          <w:u w:color="000000"/>
          <w:rtl w:val="0"/>
          <w:lang w:val="en-US"/>
          <w14:textFill>
            <w14:solidFill>
              <w14:srgbClr w14:val="000000"/>
            </w14:solidFill>
          </w14:textFill>
        </w:rPr>
        <w:t xml:space="preserve">at </w:t>
      </w:r>
      <w:r>
        <w:rPr>
          <w:outline w:val="0"/>
          <w:color w:val="000000"/>
          <w:sz w:val="22"/>
          <w:szCs w:val="22"/>
          <w:u w:color="000000"/>
          <w:rtl w:val="0"/>
          <w:lang w:val="en-US"/>
          <w14:textFill>
            <w14:solidFill>
              <w14:srgbClr w14:val="000000"/>
            </w14:solidFill>
          </w14:textFill>
        </w:rPr>
        <w:t xml:space="preserve">Scalloway </w:t>
      </w:r>
      <w:r>
        <w:rPr>
          <w:outline w:val="0"/>
          <w:color w:val="000000"/>
          <w:sz w:val="22"/>
          <w:szCs w:val="22"/>
          <w:u w:color="000000"/>
          <w:rtl w:val="0"/>
          <w:lang w:val="en-US"/>
          <w14:textFill>
            <w14:solidFill>
              <w14:srgbClr w14:val="000000"/>
            </w14:solidFill>
          </w14:textFill>
        </w:rPr>
        <w:t xml:space="preserve">Caravan </w:t>
      </w:r>
      <w:r>
        <w:rPr>
          <w:outline w:val="0"/>
          <w:color w:val="000000"/>
          <w:sz w:val="22"/>
          <w:szCs w:val="22"/>
          <w:u w:color="000000"/>
          <w:rtl w:val="0"/>
          <w:lang w:val="en-US"/>
          <w14:textFill>
            <w14:solidFill>
              <w14:srgbClr w14:val="000000"/>
            </w14:solidFill>
          </w14:textFill>
        </w:rPr>
        <w:t>P</w:t>
      </w:r>
      <w:r>
        <w:rPr>
          <w:outline w:val="0"/>
          <w:color w:val="000000"/>
          <w:sz w:val="22"/>
          <w:szCs w:val="22"/>
          <w:u w:color="000000"/>
          <w:rtl w:val="0"/>
          <w:lang w:val="en-US"/>
          <w14:textFill>
            <w14:solidFill>
              <w14:srgbClr w14:val="000000"/>
            </w14:solidFill>
          </w14:textFill>
        </w:rPr>
        <w:t>ark</w:t>
      </w:r>
      <w:r>
        <w:rPr>
          <w:outline w:val="0"/>
          <w:color w:val="000000"/>
          <w:sz w:val="22"/>
          <w:szCs w:val="22"/>
          <w:u w:color="000000"/>
          <w:rtl w:val="0"/>
          <w:lang w:val="en-US"/>
          <w14:textFill>
            <w14:solidFill>
              <w14:srgbClr w14:val="000000"/>
            </w14:solidFill>
          </w14:textFill>
        </w:rPr>
        <w:t>. Potential f</w:t>
      </w:r>
      <w:r>
        <w:rPr>
          <w:outline w:val="0"/>
          <w:color w:val="000000"/>
          <w:sz w:val="22"/>
          <w:szCs w:val="22"/>
          <w:u w:color="000000"/>
          <w:rtl w:val="0"/>
          <w:lang w:val="en-US"/>
          <w14:textFill>
            <w14:solidFill>
              <w14:srgbClr w14:val="000000"/>
            </w14:solidFill>
          </w14:textFill>
        </w:rPr>
        <w:t>ootpath to and from Scalloway</w:t>
      </w:r>
      <w:r>
        <w:rPr>
          <w:outline w:val="0"/>
          <w:color w:val="000000"/>
          <w:sz w:val="22"/>
          <w:szCs w:val="22"/>
          <w:u w:color="000000"/>
          <w:rtl w:val="0"/>
          <w:lang w:val="en-US"/>
          <w14:textFill>
            <w14:solidFill>
              <w14:srgbClr w14:val="000000"/>
            </w14:solidFill>
          </w14:textFill>
        </w:rPr>
        <w:t xml:space="preserve"> to improve visitor connection to village.</w:t>
      </w:r>
    </w:p>
    <w:p>
      <w:pPr>
        <w:pStyle w:val="Body"/>
        <w:numPr>
          <w:ilvl w:val="0"/>
          <w:numId w:val="11"/>
        </w:numPr>
        <w:rPr>
          <w:b w:val="1"/>
          <w:bCs w:val="1"/>
          <w:sz w:val="22"/>
          <w:szCs w:val="22"/>
          <w:lang w:val="en-US"/>
        </w:rPr>
      </w:pPr>
      <w:r>
        <w:rPr>
          <w:b w:val="1"/>
          <w:bCs w:val="1"/>
          <w:sz w:val="22"/>
          <w:szCs w:val="22"/>
          <w:rtl w:val="0"/>
          <w:lang w:val="en-US"/>
        </w:rPr>
        <w:t xml:space="preserve">Business Development. </w:t>
      </w:r>
      <w:r>
        <w:rPr>
          <w:b w:val="0"/>
          <w:bCs w:val="0"/>
          <w:sz w:val="22"/>
          <w:szCs w:val="22"/>
          <w:rtl w:val="0"/>
          <w:lang w:val="en-US"/>
        </w:rPr>
        <w:t>B</w:t>
      </w:r>
      <w:r>
        <w:rPr>
          <w:b w:val="0"/>
          <w:bCs w:val="0"/>
          <w:sz w:val="22"/>
          <w:szCs w:val="22"/>
          <w:rtl w:val="0"/>
          <w:lang w:val="en-US"/>
        </w:rPr>
        <w:t>usiness and commercial floorspace</w:t>
      </w:r>
      <w:r>
        <w:rPr>
          <w:b w:val="0"/>
          <w:bCs w:val="0"/>
          <w:sz w:val="22"/>
          <w:szCs w:val="22"/>
          <w:rtl w:val="0"/>
          <w:lang w:val="en-US"/>
        </w:rPr>
        <w:t xml:space="preserve"> increase</w:t>
      </w:r>
      <w:r>
        <w:rPr>
          <w:b w:val="0"/>
          <w:bCs w:val="0"/>
          <w:sz w:val="22"/>
          <w:szCs w:val="22"/>
          <w:rtl w:val="0"/>
          <w:lang w:val="en-US"/>
        </w:rPr>
        <w:t xml:space="preserve"> </w:t>
      </w:r>
      <w:r>
        <w:rPr>
          <w:b w:val="0"/>
          <w:bCs w:val="0"/>
          <w:sz w:val="22"/>
          <w:szCs w:val="22"/>
          <w:rtl w:val="0"/>
          <w:lang w:val="en-US"/>
        </w:rPr>
        <w:t>in village area. Potential development sites in Waterfront redevelopment and vacant or repurposed lots within the village. Shipyard site expansion.</w:t>
      </w:r>
    </w:p>
    <w:p>
      <w:pPr>
        <w:pStyle w:val="Body"/>
        <w:numPr>
          <w:ilvl w:val="0"/>
          <w:numId w:val="8"/>
        </w:numPr>
        <w:rPr>
          <w:sz w:val="22"/>
          <w:szCs w:val="22"/>
        </w:rPr>
      </w:pPr>
      <w:r>
        <w:rPr>
          <w:b w:val="1"/>
          <w:bCs w:val="1"/>
          <w:sz w:val="22"/>
          <w:szCs w:val="22"/>
          <w:rtl w:val="0"/>
          <w:lang w:val="en-US"/>
        </w:rPr>
        <w:t>Community Facilities</w:t>
      </w:r>
      <w:r>
        <w:rPr>
          <w:sz w:val="22"/>
          <w:szCs w:val="22"/>
          <w:rtl w:val="0"/>
          <w:lang w:val="en-US"/>
        </w:rPr>
        <w:t>.</w:t>
      </w:r>
      <w:r>
        <w:rPr>
          <w:rtl w:val="0"/>
        </w:rPr>
        <w:t xml:space="preserve"> </w:t>
      </w:r>
      <w:r>
        <w:rPr>
          <w:sz w:val="22"/>
          <w:szCs w:val="22"/>
          <w:rtl w:val="0"/>
          <w:lang w:val="en-US"/>
        </w:rPr>
        <w:t xml:space="preserve">Improvements to historic Scalloway Public Hall through increased space availability, energy usage improvements and modernisation of interior. Creation of better accessibility infrastructure. Enhancement and sustainability measures for community facilities, though energy usage, diversification and enhancement.  </w:t>
      </w:r>
    </w:p>
    <w:p>
      <w:pPr>
        <w:pStyle w:val="Body"/>
        <w:numPr>
          <w:ilvl w:val="0"/>
          <w:numId w:val="8"/>
        </w:numPr>
        <w:rPr>
          <w:sz w:val="22"/>
          <w:szCs w:val="22"/>
        </w:rPr>
      </w:pPr>
      <w:r>
        <w:rPr>
          <w:b w:val="1"/>
          <w:bCs w:val="1"/>
          <w:sz w:val="22"/>
          <w:szCs w:val="22"/>
          <w:rtl w:val="0"/>
          <w:lang w:val="en-US"/>
        </w:rPr>
        <w:t>Environmental Investment.</w:t>
      </w:r>
      <w:r>
        <w:rPr>
          <w:outline w:val="0"/>
          <w:color w:val="000000"/>
          <w:sz w:val="22"/>
          <w:szCs w:val="22"/>
          <w:u w:color="000000"/>
          <w:rtl w:val="0"/>
          <w:lang w:val="en-US"/>
          <w14:textFill>
            <w14:solidFill>
              <w14:srgbClr w14:val="000000"/>
            </w14:solidFill>
          </w14:textFill>
        </w:rPr>
        <w:t xml:space="preserve"> Transport and traffic management improvements. Support of Electric Vehicle technology. Cycle and walking routes. Support of green space management.</w:t>
      </w:r>
    </w:p>
    <w:p>
      <w:pPr>
        <w:pStyle w:val="Body"/>
        <w:numPr>
          <w:ilvl w:val="0"/>
          <w:numId w:val="8"/>
        </w:numPr>
        <w:rPr>
          <w:sz w:val="22"/>
          <w:szCs w:val="22"/>
        </w:rPr>
      </w:pPr>
      <w:r>
        <w:rPr>
          <w:b w:val="1"/>
          <w:bCs w:val="1"/>
          <w:sz w:val="22"/>
          <w:szCs w:val="22"/>
          <w:rtl w:val="0"/>
          <w:lang w:val="en-US"/>
        </w:rPr>
        <w:t>Outdoor pursuits</w:t>
      </w:r>
      <w:r>
        <w:rPr>
          <w:outline w:val="0"/>
          <w:color w:val="000000"/>
          <w:sz w:val="22"/>
          <w:szCs w:val="22"/>
          <w:u w:color="000000"/>
          <w:rtl w:val="0"/>
          <w:lang w:val="en-US"/>
          <w14:textFill>
            <w14:solidFill>
              <w14:srgbClr w14:val="000000"/>
            </w14:solidFill>
          </w14:textFill>
        </w:rPr>
        <w:t xml:space="preserve">. Development of novel or underrepresented outdoor activities in Scalloway area for locals and visitors.   </w:t>
      </w:r>
      <w:r>
        <w:rPr>
          <w:rFonts w:ascii="Arial Unicode MS" w:cs="Arial Unicode MS" w:hAnsi="Arial Unicode MS" w:eastAsia="Arial Unicode MS"/>
          <w:b w:val="0"/>
          <w:bCs w:val="0"/>
          <w:i w:val="0"/>
          <w:iCs w:val="0"/>
          <w:outline w:val="0"/>
          <w:color w:val="000000"/>
          <w:u w:color="000000"/>
          <w14:textFill>
            <w14:solidFill>
              <w14:srgbClr w14:val="000000"/>
            </w14:solidFill>
          </w14:textFill>
        </w:rPr>
        <w:br w:type="page"/>
      </w:r>
    </w:p>
    <w:p>
      <w:pPr>
        <w:pStyle w:val="Heading"/>
      </w:pPr>
      <w:r>
        <w:rPr>
          <w:rtl w:val="0"/>
        </w:rPr>
        <w:t>10. Proposals for Planning Policy</w:t>
      </w:r>
    </w:p>
    <w:p>
      <w:pPr>
        <w:pStyle w:val="Body"/>
      </w:pPr>
      <w:r>
        <w:rPr>
          <w:outline w:val="0"/>
          <w:color w:val="000000"/>
          <w:sz w:val="22"/>
          <w:szCs w:val="22"/>
          <w:u w:color="000000"/>
          <w:rtl w:val="0"/>
          <w:lang w:val="en-US"/>
          <w14:textFill>
            <w14:solidFill>
              <w14:srgbClr w14:val="000000"/>
            </w14:solidFill>
          </w14:textFill>
        </w:rPr>
        <w:t>In accordance with the Planning (Scotland) Act 2019, this Local Place Plan includes proposals regarding planning policy. These are put forward in the context of Scalloway</w:t>
      </w:r>
      <w:r>
        <w:rPr>
          <w:rFonts w:ascii="Arial Unicode MS" w:hAnsi="Arial Unicode MS" w:hint="default"/>
          <w:outline w:val="0"/>
          <w:color w:val="000000"/>
          <w:sz w:val="22"/>
          <w:szCs w:val="22"/>
          <w:u w:color="000000"/>
          <w:rtl w:val="1"/>
          <w14:textFill>
            <w14:solidFill>
              <w14:srgbClr w14:val="000000"/>
            </w14:solidFill>
          </w14:textFill>
        </w:rPr>
        <w:t>’</w:t>
      </w:r>
      <w:r>
        <w:rPr>
          <w:outline w:val="0"/>
          <w:color w:val="000000"/>
          <w:sz w:val="22"/>
          <w:szCs w:val="22"/>
          <w:u w:color="000000"/>
          <w:rtl w:val="0"/>
          <w:lang w:val="en-US"/>
          <w14:textFill>
            <w14:solidFill>
              <w14:srgbClr w14:val="000000"/>
            </w14:solidFill>
          </w14:textFill>
        </w:rPr>
        <w:t>s rural island setting and the specific challenges facing small coastal communities in Shetland.</w:t>
      </w:r>
    </w:p>
    <w:p>
      <w:pPr>
        <w:pStyle w:val="Heading 2"/>
      </w:pPr>
      <w:r>
        <w:rPr>
          <w:rtl w:val="0"/>
        </w:rPr>
        <w:t>Suggested NPF4 Policy Amendments</w:t>
      </w:r>
    </w:p>
    <w:p>
      <w:pPr>
        <w:pStyle w:val="Heading 3"/>
      </w:pPr>
      <w:r>
        <w:rPr>
          <w:rtl w:val="0"/>
        </w:rPr>
        <w:t xml:space="preserve">NPF4 Policy 15 </w:t>
      </w:r>
      <w:r>
        <w:rPr>
          <w:rtl w:val="0"/>
        </w:rPr>
        <w:t xml:space="preserve">– </w:t>
      </w:r>
      <w:r>
        <w:rPr>
          <w:rtl w:val="0"/>
        </w:rPr>
        <w:t>Local Living</w:t>
      </w:r>
    </w:p>
    <w:p>
      <w:pPr>
        <w:pStyle w:val="Body"/>
      </w:pPr>
      <w:r>
        <w:rPr>
          <w:outline w:val="0"/>
          <w:color w:val="000000"/>
          <w:sz w:val="22"/>
          <w:szCs w:val="22"/>
          <w:u w:color="000000"/>
          <w:rtl w:val="0"/>
          <w:lang w:val="en-US"/>
          <w14:textFill>
            <w14:solidFill>
              <w14:srgbClr w14:val="000000"/>
            </w14:solidFill>
          </w14:textFill>
        </w:rPr>
        <w:t xml:space="preserve">Policy Proposal: Adapt the </w:t>
      </w:r>
      <w:r>
        <w:rPr>
          <w:rFonts w:ascii="Arial Unicode MS" w:hAnsi="Arial Unicode MS" w:hint="default"/>
          <w:outline w:val="0"/>
          <w:color w:val="000000"/>
          <w:sz w:val="22"/>
          <w:szCs w:val="22"/>
          <w:u w:color="000000"/>
          <w:rtl w:val="0"/>
          <w:lang w:val="fr-FR"/>
          <w14:textFill>
            <w14:solidFill>
              <w14:srgbClr w14:val="000000"/>
            </w14:solidFill>
          </w14:textFill>
        </w:rPr>
        <w:t>‘</w:t>
      </w:r>
      <w:r>
        <w:rPr>
          <w:outline w:val="0"/>
          <w:color w:val="000000"/>
          <w:sz w:val="22"/>
          <w:szCs w:val="22"/>
          <w:u w:color="000000"/>
          <w:rtl w:val="0"/>
          <w:lang w:val="en-US"/>
          <w14:textFill>
            <w14:solidFill>
              <w14:srgbClr w14:val="000000"/>
            </w14:solidFill>
          </w14:textFill>
        </w:rPr>
        <w:t>20-minute neighbourhood</w:t>
      </w:r>
      <w:r>
        <w:rPr>
          <w:rFonts w:ascii="Arial Unicode MS" w:hAnsi="Arial Unicode MS" w:hint="default"/>
          <w:outline w:val="0"/>
          <w:color w:val="000000"/>
          <w:sz w:val="22"/>
          <w:szCs w:val="22"/>
          <w:u w:color="000000"/>
          <w:rtl w:val="0"/>
          <w:lang w:val="fr-FR"/>
          <w14:textFill>
            <w14:solidFill>
              <w14:srgbClr w14:val="000000"/>
            </w14:solidFill>
          </w14:textFill>
        </w:rPr>
        <w:t xml:space="preserve">’ </w:t>
      </w:r>
      <w:r>
        <w:rPr>
          <w:outline w:val="0"/>
          <w:color w:val="000000"/>
          <w:sz w:val="22"/>
          <w:szCs w:val="22"/>
          <w:u w:color="000000"/>
          <w:rtl w:val="0"/>
          <w:lang w:val="en-US"/>
          <w14:textFill>
            <w14:solidFill>
              <w14:srgbClr w14:val="000000"/>
            </w14:solidFill>
          </w14:textFill>
        </w:rPr>
        <w:t>concept to suit rural Shetland contexts, recognising that car dependency and geographic isolation require a distinct approach to local living.</w:t>
      </w:r>
    </w:p>
    <w:p>
      <w:pPr>
        <w:pStyle w:val="Heading 3"/>
      </w:pPr>
      <w:r>
        <w:rPr>
          <w:rtl w:val="0"/>
        </w:rPr>
        <w:t xml:space="preserve">NPF4 Policy 2 </w:t>
      </w:r>
      <w:r>
        <w:rPr>
          <w:rtl w:val="0"/>
        </w:rPr>
        <w:t xml:space="preserve">– </w:t>
      </w:r>
      <w:r>
        <w:rPr>
          <w:rtl w:val="0"/>
        </w:rPr>
        <w:t>Climate Mitigation and Adaptation</w:t>
      </w:r>
    </w:p>
    <w:p>
      <w:pPr>
        <w:pStyle w:val="Body"/>
      </w:pPr>
      <w:r>
        <w:rPr>
          <w:outline w:val="0"/>
          <w:color w:val="000000"/>
          <w:sz w:val="22"/>
          <w:szCs w:val="22"/>
          <w:u w:color="000000"/>
          <w:rtl w:val="0"/>
          <w:lang w:val="en-US"/>
          <w14:textFill>
            <w14:solidFill>
              <w14:srgbClr w14:val="000000"/>
            </w14:solidFill>
          </w14:textFill>
        </w:rPr>
        <w:t>Policy Proposal: Permit low-density, energy-efficient housing in rural settlements where it supports community resilience and does not conflict with climate objectives.</w:t>
      </w:r>
    </w:p>
    <w:p>
      <w:pPr>
        <w:pStyle w:val="Heading 3"/>
      </w:pPr>
      <w:r>
        <w:rPr>
          <w:rtl w:val="0"/>
        </w:rPr>
        <w:t xml:space="preserve">NPF4 Policy 6 </w:t>
      </w:r>
      <w:r>
        <w:rPr>
          <w:rtl w:val="0"/>
        </w:rPr>
        <w:t xml:space="preserve">– </w:t>
      </w:r>
      <w:r>
        <w:rPr>
          <w:rtl w:val="0"/>
        </w:rPr>
        <w:t>Design, Quality and Place</w:t>
      </w:r>
    </w:p>
    <w:p>
      <w:pPr>
        <w:pStyle w:val="Body"/>
      </w:pPr>
      <w:r>
        <w:rPr>
          <w:outline w:val="0"/>
          <w:color w:val="000000"/>
          <w:sz w:val="22"/>
          <w:szCs w:val="22"/>
          <w:u w:color="000000"/>
          <w:rtl w:val="0"/>
          <w:lang w:val="en-US"/>
          <w14:textFill>
            <w14:solidFill>
              <w14:srgbClr w14:val="000000"/>
            </w14:solidFill>
          </w14:textFill>
        </w:rPr>
        <w:t>Policy Proposal: Recognise vernacular and community-led design as valid expressions of design quality in planning decisions.</w:t>
      </w:r>
    </w:p>
    <w:p>
      <w:pPr>
        <w:pStyle w:val="Heading 3"/>
      </w:pPr>
      <w:r>
        <w:rPr>
          <w:rtl w:val="0"/>
        </w:rPr>
        <w:t xml:space="preserve">NPF4 Policy 13 </w:t>
      </w:r>
      <w:r>
        <w:rPr>
          <w:rtl w:val="0"/>
        </w:rPr>
        <w:t xml:space="preserve">– </w:t>
      </w:r>
      <w:r>
        <w:rPr>
          <w:rtl w:val="0"/>
        </w:rPr>
        <w:t>Sustainable Transport</w:t>
      </w:r>
    </w:p>
    <w:p>
      <w:pPr>
        <w:pStyle w:val="Body"/>
      </w:pPr>
      <w:r>
        <w:rPr>
          <w:outline w:val="0"/>
          <w:color w:val="000000"/>
          <w:sz w:val="22"/>
          <w:szCs w:val="22"/>
          <w:u w:color="000000"/>
          <w:rtl w:val="0"/>
          <w:lang w:val="en-US"/>
          <w14:textFill>
            <w14:solidFill>
              <w14:srgbClr w14:val="000000"/>
            </w14:solidFill>
          </w14:textFill>
        </w:rPr>
        <w:t>Policy Proposal: Include community transport and digital infrastructure as valid alternatives to conventional public transport in rural contexts.</w:t>
      </w:r>
    </w:p>
    <w:p>
      <w:pPr>
        <w:pStyle w:val="Heading 3"/>
      </w:pPr>
      <w:r>
        <w:rPr>
          <w:rtl w:val="0"/>
        </w:rPr>
        <w:t xml:space="preserve">NPF4 Policy 7 </w:t>
      </w:r>
      <w:r>
        <w:rPr>
          <w:rtl w:val="0"/>
        </w:rPr>
        <w:t xml:space="preserve">– </w:t>
      </w:r>
      <w:r>
        <w:rPr>
          <w:rtl w:val="0"/>
        </w:rPr>
        <w:t>Historic Assets and Places</w:t>
      </w:r>
    </w:p>
    <w:p>
      <w:pPr>
        <w:pStyle w:val="Body"/>
      </w:pPr>
      <w:r>
        <w:rPr>
          <w:rtl w:val="0"/>
        </w:rPr>
        <w:t>Policy Proposal: Enable flexible reuse of historic buildings to support community resilience, with appropriate safeguards for heritage assets.</w:t>
      </w:r>
    </w:p>
    <w:p>
      <w:pPr>
        <w:pStyle w:val="Heading 3"/>
      </w:pPr>
    </w:p>
    <w:p>
      <w:pPr>
        <w:pStyle w:val="Heading 2"/>
      </w:pPr>
      <w:r>
        <w:rPr>
          <w:rtl w:val="0"/>
        </w:rPr>
        <w:t>Suggestions for Addressing Policy Gaps</w:t>
      </w:r>
    </w:p>
    <w:p>
      <w:pPr>
        <w:pStyle w:val="Heading 3"/>
      </w:pPr>
      <w:r>
        <w:rPr>
          <w:rtl w:val="0"/>
        </w:rPr>
        <w:t>Community Wealth Building and Large-Scale Development Mitigation</w:t>
      </w:r>
    </w:p>
    <w:p>
      <w:pPr>
        <w:pStyle w:val="Body"/>
      </w:pPr>
      <w:r>
        <w:rPr>
          <w:outline w:val="0"/>
          <w:color w:val="000000"/>
          <w:sz w:val="22"/>
          <w:szCs w:val="22"/>
          <w:u w:color="000000"/>
          <w:rtl w:val="0"/>
          <w:lang w:val="en-US"/>
          <w14:textFill>
            <w14:solidFill>
              <w14:srgbClr w14:val="000000"/>
            </w14:solidFill>
          </w14:textFill>
        </w:rPr>
        <w:t>Policy Objective: Introduce measures requiring community impact assessments for large-scale proposals, including economic resilience checks and mitigation strategies. Ensure planning policy supports community wealth building without stifling fair competition.</w:t>
      </w:r>
    </w:p>
    <w:p>
      <w:pPr>
        <w:pStyle w:val="Heading 3"/>
      </w:pPr>
      <w:r>
        <w:rPr>
          <w:rtl w:val="0"/>
        </w:rPr>
        <w:t>Meanwhile Land and Building Use</w:t>
      </w:r>
    </w:p>
    <w:p>
      <w:pPr>
        <w:pStyle w:val="Body"/>
        <w:rPr>
          <w:rFonts w:ascii="Times Roman" w:cs="Times Roman" w:hAnsi="Times Roman" w:eastAsia="Times Roman"/>
          <w:sz w:val="22"/>
          <w:szCs w:val="22"/>
        </w:rPr>
      </w:pPr>
      <w:r>
        <w:rPr>
          <w:rtl w:val="0"/>
        </w:rPr>
        <w:t>Meanwhile land, also known as</w:t>
      </w:r>
      <w:r>
        <w:rPr>
          <w:rtl w:val="0"/>
        </w:rPr>
        <w:t> </w:t>
      </w:r>
      <w:r>
        <w:rPr>
          <w:rtl w:val="0"/>
        </w:rPr>
        <w:t>meanwhile use, refers to the</w:t>
      </w:r>
      <w:r>
        <w:rPr>
          <w:rtl w:val="0"/>
        </w:rPr>
        <w:t> </w:t>
      </w:r>
      <w:r>
        <w:rPr>
          <w:rtl w:val="0"/>
        </w:rPr>
        <w:t>temporary occupation of vacant buildings or land</w:t>
      </w:r>
      <w:r>
        <w:rPr>
          <w:rtl w:val="0"/>
        </w:rPr>
        <w:t> </w:t>
      </w:r>
      <w:r>
        <w:rPr>
          <w:rtl w:val="0"/>
        </w:rPr>
        <w:t>for socially beneficial purposes until permanent commercial development or new ownership is established.</w:t>
      </w:r>
      <w:r>
        <w:rPr>
          <w:rtl w:val="0"/>
        </w:rPr>
        <w:t> </w:t>
      </w:r>
    </w:p>
    <w:p>
      <w:pPr>
        <w:pStyle w:val="Body"/>
        <w:rPr>
          <w:rFonts w:ascii="Times Roman" w:cs="Times Roman" w:hAnsi="Times Roman" w:eastAsia="Times Roman"/>
          <w:sz w:val="22"/>
          <w:szCs w:val="22"/>
          <w:shd w:val="clear" w:color="auto" w:fill="ffffff"/>
        </w:rPr>
      </w:pPr>
    </w:p>
    <w:p>
      <w:pPr>
        <w:pStyle w:val="Body"/>
      </w:pPr>
      <w:r>
        <w:rPr>
          <w:rtl w:val="0"/>
        </w:rPr>
        <w:t>This strategy transforms idle spaces into active community assets such as</w:t>
      </w:r>
      <w:r>
        <w:rPr>
          <w:rtl w:val="0"/>
        </w:rPr>
        <w:t> </w:t>
      </w:r>
      <w:r>
        <w:rPr>
          <w:rtl w:val="0"/>
        </w:rPr>
        <w:t>pop-up shops,</w:t>
      </w:r>
      <w:r>
        <w:rPr>
          <w:rtl w:val="0"/>
        </w:rPr>
        <w:t> </w:t>
      </w:r>
      <w:r>
        <w:rPr>
          <w:rtl w:val="0"/>
        </w:rPr>
        <w:t>creative workspaces,</w:t>
      </w:r>
      <w:r>
        <w:rPr>
          <w:rtl w:val="0"/>
        </w:rPr>
        <w:t> </w:t>
      </w:r>
      <w:r>
        <w:rPr>
          <w:rtl w:val="0"/>
        </w:rPr>
        <w:t>community gardens, and</w:t>
      </w:r>
      <w:r>
        <w:rPr>
          <w:rtl w:val="0"/>
        </w:rPr>
        <w:t> </w:t>
      </w:r>
      <w:r>
        <w:rPr>
          <w:rtl w:val="0"/>
        </w:rPr>
        <w:t>temporary housing, thereby maintaining area vibrancy and reducing the economic burden on landowners</w:t>
      </w:r>
    </w:p>
    <w:p>
      <w:pPr>
        <w:pStyle w:val="Body"/>
      </w:pPr>
    </w:p>
    <w:p>
      <w:pPr>
        <w:pStyle w:val="Body"/>
      </w:pPr>
      <w:r>
        <w:rPr>
          <w:b w:val="1"/>
          <w:bCs w:val="1"/>
          <w:sz w:val="22"/>
          <w:szCs w:val="22"/>
          <w:rtl w:val="0"/>
          <w:lang w:val="en-US"/>
        </w:rPr>
        <w:t>Policy Objective</w:t>
      </w:r>
      <w:r>
        <w:rPr>
          <w:outline w:val="0"/>
          <w:color w:val="000000"/>
          <w:sz w:val="22"/>
          <w:szCs w:val="22"/>
          <w:u w:color="000000"/>
          <w:rtl w:val="0"/>
          <w:lang w:val="en-US"/>
          <w14:textFill>
            <w14:solidFill>
              <w14:srgbClr w14:val="000000"/>
            </w14:solidFill>
          </w14:textFill>
        </w:rPr>
        <w:t>: Provide express permission for, and encouragement of, meanwhile uses where they support community wellbeing and do not conflict with long-term planning objectives.</w:t>
      </w:r>
    </w:p>
    <w:p>
      <w:pPr>
        <w:pStyle w:val="Heading 3"/>
      </w:pPr>
    </w:p>
    <w:p>
      <w:pPr>
        <w:pStyle w:val="Heading 3"/>
      </w:pPr>
    </w:p>
    <w:p>
      <w:pPr>
        <w:pStyle w:val="Heading 3"/>
      </w:pPr>
      <w:r>
        <w:rPr>
          <w:rtl w:val="0"/>
        </w:rPr>
        <w:t>Rural Development and Resilience</w:t>
      </w:r>
    </w:p>
    <w:p>
      <w:pPr>
        <w:pStyle w:val="Body"/>
        <w:rPr>
          <w:outline w:val="0"/>
          <w:color w:val="000000"/>
          <w:sz w:val="22"/>
          <w:szCs w:val="22"/>
          <w:u w:color="000000"/>
          <w14:textFill>
            <w14:solidFill>
              <w14:srgbClr w14:val="000000"/>
            </w14:solidFill>
          </w14:textFill>
        </w:rPr>
      </w:pPr>
      <w:r>
        <w:rPr>
          <w:b w:val="1"/>
          <w:bCs w:val="1"/>
          <w:sz w:val="22"/>
          <w:szCs w:val="22"/>
          <w:rtl w:val="0"/>
          <w:lang w:val="en-US"/>
        </w:rPr>
        <w:t>Policy Objective:</w:t>
      </w:r>
      <w:r>
        <w:rPr>
          <w:outline w:val="0"/>
          <w:color w:val="000000"/>
          <w:sz w:val="22"/>
          <w:szCs w:val="22"/>
          <w:u w:color="000000"/>
          <w:rtl w:val="0"/>
          <w:lang w:val="en-US"/>
          <w14:textFill>
            <w14:solidFill>
              <w14:srgbClr w14:val="000000"/>
            </w14:solidFill>
          </w14:textFill>
        </w:rPr>
        <w:t xml:space="preserve"> Underpin and increase rural resilience by permitting development which demonstrably seeks to sustain small communities and their local economies.</w:t>
      </w:r>
    </w:p>
    <w:p>
      <w:pPr>
        <w:pStyle w:val="Heading 3"/>
      </w:pPr>
      <w:r>
        <w:rPr>
          <w:outline w:val="0"/>
          <w:color w:val="000000"/>
          <w:sz w:val="22"/>
          <w:szCs w:val="22"/>
          <w:u w:color="000000"/>
          <w14:textFill>
            <w14:solidFill>
              <w14:srgbClr w14:val="000000"/>
            </w14:solidFill>
          </w14:textFill>
        </w:rPr>
        <w:drawing xmlns:a="http://schemas.openxmlformats.org/drawingml/2006/main">
          <wp:inline distT="0" distB="0" distL="0" distR="0">
            <wp:extent cx="6070473" cy="4270564"/>
            <wp:effectExtent l="0" t="0" r="0" b="0"/>
            <wp:docPr id="1073741856" name="officeArt object" descr="page21image3475904.png"/>
            <wp:cNvGraphicFramePr/>
            <a:graphic xmlns:a="http://schemas.openxmlformats.org/drawingml/2006/main">
              <a:graphicData uri="http://schemas.openxmlformats.org/drawingml/2006/picture">
                <pic:pic xmlns:pic="http://schemas.openxmlformats.org/drawingml/2006/picture">
                  <pic:nvPicPr>
                    <pic:cNvPr id="1073741856" name="page21image3475904.png" descr="page21image3475904.png"/>
                    <pic:cNvPicPr>
                      <a:picLocks noChangeAspect="1"/>
                    </pic:cNvPicPr>
                  </pic:nvPicPr>
                  <pic:blipFill>
                    <a:blip r:embed="rId25">
                      <a:extLst/>
                    </a:blip>
                    <a:stretch>
                      <a:fillRect/>
                    </a:stretch>
                  </pic:blipFill>
                  <pic:spPr>
                    <a:xfrm>
                      <a:off x="0" y="0"/>
                      <a:ext cx="6070473" cy="4270564"/>
                    </a:xfrm>
                    <a:prstGeom prst="rect">
                      <a:avLst/>
                    </a:prstGeom>
                    <a:ln w="12700" cap="flat">
                      <a:noFill/>
                      <a:miter lim="400000"/>
                    </a:ln>
                    <a:effectLst/>
                  </pic:spPr>
                </pic:pic>
              </a:graphicData>
            </a:graphic>
          </wp:inline>
        </w:drawing>
      </w:r>
    </w:p>
    <w:p>
      <w:pPr>
        <w:pStyle w:val="Heading 3"/>
      </w:pPr>
      <w:r>
        <w:rPr>
          <w:rFonts w:ascii="Arial Unicode MS" w:cs="Arial Unicode MS" w:hAnsi="Arial Unicode MS" w:eastAsia="Arial Unicode MS"/>
          <w:b w:val="0"/>
          <w:bCs w:val="0"/>
          <w:i w:val="0"/>
          <w:iCs w:val="0"/>
          <w:outline w:val="0"/>
          <w:color w:val="000000"/>
          <w:u w:color="000000"/>
          <w14:textFill>
            <w14:solidFill>
              <w14:srgbClr w14:val="000000"/>
            </w14:solidFill>
          </w14:textFill>
        </w:rPr>
        <w:br w:type="page"/>
      </w:r>
    </w:p>
    <w:p>
      <w:pPr>
        <w:pStyle w:val="Heading"/>
      </w:pPr>
      <w:r>
        <w:rPr>
          <w:rtl w:val="0"/>
        </w:rPr>
        <w:t>11. Evidence of Statutory Regard</w:t>
      </w:r>
    </w:p>
    <w:p>
      <w:pPr>
        <w:pStyle w:val="Body"/>
      </w:pPr>
      <w:r>
        <w:rPr>
          <w:outline w:val="0"/>
          <w:color w:val="000000"/>
          <w:sz w:val="22"/>
          <w:szCs w:val="22"/>
          <w:u w:color="000000"/>
          <w:rtl w:val="0"/>
          <w:lang w:val="en-US"/>
          <w14:textFill>
            <w14:solidFill>
              <w14:srgbClr w14:val="000000"/>
            </w14:solidFill>
          </w14:textFill>
        </w:rPr>
        <w:t>This section demonstrates the alignment of the proposals in this Local Place Plan with relevant national and local planning policy, as required under the Planning (Scotland) Act 2019.</w:t>
      </w:r>
    </w:p>
    <w:p>
      <w:pPr>
        <w:pStyle w:val="Heading 3"/>
      </w:pPr>
      <w:r>
        <w:rPr>
          <w:rtl w:val="0"/>
        </w:rPr>
        <w:t>Policy Alignment</w:t>
      </w:r>
    </w:p>
    <w:tbl>
      <w:tblPr>
        <w:tblW w:w="902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000"/>
        <w:gridCol w:w="2800"/>
        <w:gridCol w:w="2500"/>
        <w:gridCol w:w="1726"/>
      </w:tblGrid>
      <w:tr>
        <w:tblPrEx>
          <w:shd w:val="clear" w:color="auto" w:fill="4f81bd"/>
        </w:tblPrEx>
        <w:trPr>
          <w:trHeight w:val="204" w:hRule="atLeast"/>
          <w:tblHeader/>
        </w:trPr>
        <w:tc>
          <w:tcPr>
            <w:tcW w:type="dxa" w:w="20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1f6b75"/>
            <w:tcMar>
              <w:top w:type="dxa" w:w="80"/>
              <w:left w:type="dxa" w:w="80"/>
              <w:bottom w:type="dxa" w:w="80"/>
              <w:right w:type="dxa" w:w="80"/>
            </w:tcMar>
            <w:vAlign w:val="top"/>
          </w:tcPr>
          <w:p>
            <w:pPr>
              <w:pStyle w:val="Default"/>
              <w:tabs>
                <w:tab w:val="left" w:pos="720"/>
                <w:tab w:val="left" w:pos="1440"/>
              </w:tabs>
            </w:pPr>
            <w:r>
              <w:rPr>
                <w:rFonts w:ascii="Arial" w:hAnsi="Arial"/>
                <w:b w:val="1"/>
                <w:bCs w:val="1"/>
                <w:outline w:val="0"/>
                <w:color w:val="ffffff"/>
                <w:sz w:val="18"/>
                <w:szCs w:val="18"/>
                <w:u w:color="ffffff"/>
                <w:shd w:val="nil" w:color="auto" w:fill="auto"/>
                <w:rtl w:val="0"/>
                <w:lang w:val="en-US"/>
                <w14:textFill>
                  <w14:solidFill>
                    <w14:srgbClr w14:val="FFFFFF"/>
                  </w14:solidFill>
                </w14:textFill>
              </w:rPr>
              <w:t>Proposal</w:t>
            </w:r>
          </w:p>
        </w:tc>
        <w:tc>
          <w:tcPr>
            <w:tcW w:type="dxa" w:w="28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1f6b75"/>
            <w:tcMar>
              <w:top w:type="dxa" w:w="80"/>
              <w:left w:type="dxa" w:w="80"/>
              <w:bottom w:type="dxa" w:w="80"/>
              <w:right w:type="dxa" w:w="80"/>
            </w:tcMar>
            <w:vAlign w:val="top"/>
          </w:tcPr>
          <w:p>
            <w:pPr>
              <w:pStyle w:val="Default"/>
              <w:tabs>
                <w:tab w:val="left" w:pos="720"/>
                <w:tab w:val="left" w:pos="1440"/>
                <w:tab w:val="left" w:pos="2160"/>
              </w:tabs>
            </w:pPr>
            <w:r>
              <w:rPr>
                <w:rFonts w:ascii="Arial" w:hAnsi="Arial"/>
                <w:b w:val="1"/>
                <w:bCs w:val="1"/>
                <w:outline w:val="0"/>
                <w:color w:val="ffffff"/>
                <w:sz w:val="18"/>
                <w:szCs w:val="18"/>
                <w:u w:color="ffffff"/>
                <w:shd w:val="nil" w:color="auto" w:fill="auto"/>
                <w:rtl w:val="0"/>
                <w:lang w:val="en-US"/>
                <w14:textFill>
                  <w14:solidFill>
                    <w14:srgbClr w14:val="FFFFFF"/>
                  </w14:solidFill>
                </w14:textFill>
              </w:rPr>
              <w:t>NPF4 Policies</w:t>
            </w:r>
          </w:p>
        </w:tc>
        <w:tc>
          <w:tcPr>
            <w:tcW w:type="dxa" w:w="25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1f6b75"/>
            <w:tcMar>
              <w:top w:type="dxa" w:w="80"/>
              <w:left w:type="dxa" w:w="80"/>
              <w:bottom w:type="dxa" w:w="80"/>
              <w:right w:type="dxa" w:w="80"/>
            </w:tcMar>
            <w:vAlign w:val="top"/>
          </w:tcPr>
          <w:p>
            <w:pPr>
              <w:pStyle w:val="Default"/>
              <w:tabs>
                <w:tab w:val="left" w:pos="720"/>
                <w:tab w:val="left" w:pos="1440"/>
                <w:tab w:val="left" w:pos="2160"/>
              </w:tabs>
            </w:pPr>
            <w:r>
              <w:rPr>
                <w:rFonts w:ascii="Arial" w:hAnsi="Arial"/>
                <w:b w:val="1"/>
                <w:bCs w:val="1"/>
                <w:outline w:val="0"/>
                <w:color w:val="ffffff"/>
                <w:sz w:val="18"/>
                <w:szCs w:val="18"/>
                <w:u w:color="ffffff"/>
                <w:shd w:val="nil" w:color="auto" w:fill="auto"/>
                <w:rtl w:val="0"/>
                <w:lang w:val="en-US"/>
                <w14:textFill>
                  <w14:solidFill>
                    <w14:srgbClr w14:val="FFFFFF"/>
                  </w14:solidFill>
                </w14:textFill>
              </w:rPr>
              <w:t>LDP Policies</w:t>
            </w:r>
          </w:p>
        </w:tc>
        <w:tc>
          <w:tcPr>
            <w:tcW w:type="dxa" w:w="1726"/>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1f6b75"/>
            <w:tcMar>
              <w:top w:type="dxa" w:w="80"/>
              <w:left w:type="dxa" w:w="80"/>
              <w:bottom w:type="dxa" w:w="80"/>
              <w:right w:type="dxa" w:w="80"/>
            </w:tcMar>
            <w:vAlign w:val="top"/>
          </w:tcPr>
          <w:p>
            <w:pPr>
              <w:pStyle w:val="Default"/>
              <w:tabs>
                <w:tab w:val="left" w:pos="720"/>
                <w:tab w:val="left" w:pos="1440"/>
              </w:tabs>
            </w:pPr>
            <w:r>
              <w:rPr>
                <w:rFonts w:ascii="Arial" w:hAnsi="Arial"/>
                <w:b w:val="1"/>
                <w:bCs w:val="1"/>
                <w:outline w:val="0"/>
                <w:color w:val="ffffff"/>
                <w:sz w:val="18"/>
                <w:szCs w:val="18"/>
                <w:u w:color="ffffff"/>
                <w:shd w:val="nil" w:color="auto" w:fill="auto"/>
                <w:rtl w:val="0"/>
                <w:lang w:val="en-US"/>
                <w14:textFill>
                  <w14:solidFill>
                    <w14:srgbClr w14:val="FFFFFF"/>
                  </w14:solidFill>
                </w14:textFill>
              </w:rPr>
              <w:t>SPP Priorities</w:t>
            </w:r>
          </w:p>
        </w:tc>
      </w:tr>
      <w:tr>
        <w:tblPrEx>
          <w:shd w:val="clear" w:color="auto" w:fill="ced7e7"/>
        </w:tblPrEx>
        <w:trPr>
          <w:trHeight w:val="682" w:hRule="atLeast"/>
        </w:trPr>
        <w:tc>
          <w:tcPr>
            <w:tcW w:type="dxa" w:w="20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Burn Beach Expansion</w:t>
            </w:r>
          </w:p>
        </w:tc>
        <w:tc>
          <w:tcPr>
            <w:tcW w:type="dxa" w:w="28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 w:val="left" w:pos="2160"/>
              </w:tabs>
            </w:pPr>
            <w:r>
              <w:rPr>
                <w:rFonts w:ascii="Arial" w:hAnsi="Arial"/>
                <w:sz w:val="18"/>
                <w:szCs w:val="18"/>
                <w:shd w:val="nil" w:color="auto" w:fill="auto"/>
                <w:rtl w:val="0"/>
                <w:lang w:val="en-US"/>
              </w:rPr>
              <w:t>NPF4 Policy 13 (Sustainable Transport), NPF4 Policy 2 (Climate Mitigation)</w:t>
            </w:r>
          </w:p>
        </w:tc>
        <w:tc>
          <w:tcPr>
            <w:tcW w:type="dxa" w:w="25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 w:val="left" w:pos="2160"/>
              </w:tabs>
            </w:pPr>
            <w:r>
              <w:rPr>
                <w:rFonts w:ascii="Arial" w:hAnsi="Arial"/>
                <w:sz w:val="18"/>
                <w:szCs w:val="18"/>
                <w:shd w:val="nil" w:color="auto" w:fill="auto"/>
                <w:rtl w:val="0"/>
                <w:lang w:val="en-US"/>
              </w:rPr>
              <w:t>LDP Policy TRANS1 (Integrated Transport)</w:t>
            </w:r>
          </w:p>
        </w:tc>
        <w:tc>
          <w:tcPr>
            <w:tcW w:type="dxa" w:w="1726"/>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Place, Money</w:t>
            </w:r>
          </w:p>
        </w:tc>
      </w:tr>
      <w:tr>
        <w:tblPrEx>
          <w:shd w:val="clear" w:color="auto" w:fill="ced7e7"/>
        </w:tblPrEx>
        <w:trPr>
          <w:trHeight w:val="682" w:hRule="atLeast"/>
        </w:trPr>
        <w:tc>
          <w:tcPr>
            <w:tcW w:type="dxa" w:w="20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Waterfront Walkways</w:t>
            </w:r>
          </w:p>
        </w:tc>
        <w:tc>
          <w:tcPr>
            <w:tcW w:type="dxa" w:w="28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 w:val="left" w:pos="2160"/>
              </w:tabs>
            </w:pPr>
            <w:r>
              <w:rPr>
                <w:rFonts w:ascii="Arial" w:hAnsi="Arial"/>
                <w:sz w:val="18"/>
                <w:szCs w:val="18"/>
                <w:shd w:val="nil" w:color="auto" w:fill="auto"/>
                <w:rtl w:val="0"/>
                <w:lang w:val="en-US"/>
              </w:rPr>
              <w:t>NPF4 Policy 20 (Blue and Green Infrastructure), NPF4 Policy 14 (Design, Quality and Place)</w:t>
            </w:r>
          </w:p>
        </w:tc>
        <w:tc>
          <w:tcPr>
            <w:tcW w:type="dxa" w:w="25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 w:val="left" w:pos="2160"/>
              </w:tabs>
            </w:pPr>
            <w:r>
              <w:rPr>
                <w:rFonts w:ascii="Arial" w:hAnsi="Arial"/>
                <w:sz w:val="18"/>
                <w:szCs w:val="18"/>
                <w:shd w:val="nil" w:color="auto" w:fill="auto"/>
                <w:rtl w:val="0"/>
                <w:lang w:val="en-US"/>
              </w:rPr>
              <w:t>LDP Policy CF2 (Open Space)</w:t>
            </w:r>
          </w:p>
        </w:tc>
        <w:tc>
          <w:tcPr>
            <w:tcW w:type="dxa" w:w="1726"/>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Place, People</w:t>
            </w:r>
          </w:p>
        </w:tc>
      </w:tr>
      <w:tr>
        <w:tblPrEx>
          <w:shd w:val="clear" w:color="auto" w:fill="ced7e7"/>
        </w:tblPrEx>
        <w:trPr>
          <w:trHeight w:val="682" w:hRule="atLeast"/>
        </w:trPr>
        <w:tc>
          <w:tcPr>
            <w:tcW w:type="dxa" w:w="20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Main Street Reconfiguration</w:t>
            </w:r>
          </w:p>
        </w:tc>
        <w:tc>
          <w:tcPr>
            <w:tcW w:type="dxa" w:w="28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 w:val="left" w:pos="2160"/>
              </w:tabs>
            </w:pPr>
            <w:r>
              <w:rPr>
                <w:rFonts w:ascii="Arial" w:hAnsi="Arial"/>
                <w:sz w:val="18"/>
                <w:szCs w:val="18"/>
                <w:shd w:val="nil" w:color="auto" w:fill="auto"/>
                <w:rtl w:val="0"/>
                <w:lang w:val="en-US"/>
              </w:rPr>
              <w:t>NPF4 Policy 13 (Sustainable Transport)</w:t>
            </w:r>
          </w:p>
        </w:tc>
        <w:tc>
          <w:tcPr>
            <w:tcW w:type="dxa" w:w="25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 w:val="left" w:pos="2160"/>
              </w:tabs>
            </w:pPr>
            <w:r>
              <w:rPr>
                <w:rFonts w:ascii="Arial" w:hAnsi="Arial"/>
                <w:sz w:val="18"/>
                <w:szCs w:val="18"/>
                <w:shd w:val="nil" w:color="auto" w:fill="auto"/>
                <w:rtl w:val="0"/>
                <w:lang w:val="en-US"/>
              </w:rPr>
              <w:t>LDP Policy GP2 (General Requirements for All Development)</w:t>
            </w:r>
          </w:p>
        </w:tc>
        <w:tc>
          <w:tcPr>
            <w:tcW w:type="dxa" w:w="1726"/>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fr-FR"/>
              </w:rPr>
              <w:t>Participation, Place</w:t>
            </w:r>
          </w:p>
        </w:tc>
      </w:tr>
      <w:tr>
        <w:tblPrEx>
          <w:shd w:val="clear" w:color="auto" w:fill="ced7e7"/>
        </w:tblPrEx>
        <w:trPr>
          <w:trHeight w:val="443" w:hRule="atLeast"/>
        </w:trPr>
        <w:tc>
          <w:tcPr>
            <w:tcW w:type="dxa" w:w="20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Fraser Park Improvements</w:t>
            </w:r>
          </w:p>
        </w:tc>
        <w:tc>
          <w:tcPr>
            <w:tcW w:type="dxa" w:w="28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 w:val="left" w:pos="2160"/>
              </w:tabs>
            </w:pPr>
            <w:r>
              <w:rPr>
                <w:rFonts w:ascii="Arial" w:hAnsi="Arial"/>
                <w:sz w:val="18"/>
                <w:szCs w:val="18"/>
                <w:shd w:val="nil" w:color="auto" w:fill="auto"/>
                <w:rtl w:val="0"/>
                <w:lang w:val="en-US"/>
              </w:rPr>
              <w:t>NPF4 Policy 21 (Play, Recreation and Sport)</w:t>
            </w:r>
          </w:p>
        </w:tc>
        <w:tc>
          <w:tcPr>
            <w:tcW w:type="dxa" w:w="25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 w:val="left" w:pos="2160"/>
              </w:tabs>
            </w:pPr>
            <w:r>
              <w:rPr>
                <w:rFonts w:ascii="Arial" w:hAnsi="Arial"/>
                <w:sz w:val="18"/>
                <w:szCs w:val="18"/>
                <w:shd w:val="nil" w:color="auto" w:fill="auto"/>
                <w:rtl w:val="0"/>
                <w:lang w:val="en-US"/>
              </w:rPr>
              <w:t>LDP Policy CF2 (Open Space)</w:t>
            </w:r>
          </w:p>
        </w:tc>
        <w:tc>
          <w:tcPr>
            <w:tcW w:type="dxa" w:w="1726"/>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People, Place</w:t>
            </w:r>
          </w:p>
        </w:tc>
      </w:tr>
      <w:tr>
        <w:tblPrEx>
          <w:shd w:val="clear" w:color="auto" w:fill="ced7e7"/>
        </w:tblPrEx>
        <w:trPr>
          <w:trHeight w:val="443" w:hRule="atLeast"/>
        </w:trPr>
        <w:tc>
          <w:tcPr>
            <w:tcW w:type="dxa" w:w="20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Tourism Infrastructure</w:t>
            </w:r>
          </w:p>
        </w:tc>
        <w:tc>
          <w:tcPr>
            <w:tcW w:type="dxa" w:w="28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 w:val="left" w:pos="2160"/>
              </w:tabs>
            </w:pPr>
            <w:r>
              <w:rPr>
                <w:rFonts w:ascii="Arial" w:hAnsi="Arial"/>
                <w:sz w:val="18"/>
                <w:szCs w:val="18"/>
                <w:shd w:val="nil" w:color="auto" w:fill="auto"/>
                <w:rtl w:val="0"/>
                <w:lang w:val="en-US"/>
              </w:rPr>
              <w:t>NPF4 Policy 30 (Tourism)</w:t>
            </w:r>
          </w:p>
        </w:tc>
        <w:tc>
          <w:tcPr>
            <w:tcW w:type="dxa" w:w="25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 w:val="left" w:pos="2160"/>
              </w:tabs>
            </w:pPr>
            <w:r>
              <w:rPr>
                <w:rFonts w:ascii="Arial" w:hAnsi="Arial"/>
                <w:sz w:val="18"/>
                <w:szCs w:val="18"/>
                <w:shd w:val="nil" w:color="auto" w:fill="auto"/>
                <w:rtl w:val="0"/>
                <w:lang w:val="en-US"/>
              </w:rPr>
              <w:t>LDP Policy ED2 (Business Development)</w:t>
            </w:r>
          </w:p>
        </w:tc>
        <w:tc>
          <w:tcPr>
            <w:tcW w:type="dxa" w:w="1726"/>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Money, Place</w:t>
            </w:r>
          </w:p>
        </w:tc>
      </w:tr>
      <w:tr>
        <w:tblPrEx>
          <w:shd w:val="clear" w:color="auto" w:fill="ced7e7"/>
        </w:tblPrEx>
        <w:trPr>
          <w:trHeight w:val="443" w:hRule="atLeast"/>
        </w:trPr>
        <w:tc>
          <w:tcPr>
            <w:tcW w:type="dxa" w:w="20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Soft Play Facility</w:t>
            </w:r>
          </w:p>
        </w:tc>
        <w:tc>
          <w:tcPr>
            <w:tcW w:type="dxa" w:w="28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 w:val="left" w:pos="2160"/>
              </w:tabs>
            </w:pPr>
            <w:r>
              <w:rPr>
                <w:rFonts w:ascii="Arial" w:hAnsi="Arial"/>
                <w:sz w:val="18"/>
                <w:szCs w:val="18"/>
                <w:shd w:val="nil" w:color="auto" w:fill="auto"/>
                <w:rtl w:val="0"/>
                <w:lang w:val="en-US"/>
              </w:rPr>
              <w:t>NPF4 Policy 15 (Local Living)</w:t>
            </w:r>
          </w:p>
        </w:tc>
        <w:tc>
          <w:tcPr>
            <w:tcW w:type="dxa" w:w="25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 w:val="left" w:pos="2160"/>
              </w:tabs>
            </w:pPr>
            <w:r>
              <w:rPr>
                <w:rFonts w:ascii="Arial" w:hAnsi="Arial"/>
                <w:sz w:val="18"/>
                <w:szCs w:val="18"/>
                <w:shd w:val="nil" w:color="auto" w:fill="auto"/>
                <w:rtl w:val="0"/>
                <w:lang w:val="en-US"/>
              </w:rPr>
              <w:t>LDP Policy CF1 (Community Facilities and Services)</w:t>
            </w:r>
          </w:p>
        </w:tc>
        <w:tc>
          <w:tcPr>
            <w:tcW w:type="dxa" w:w="1726"/>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People, Participation</w:t>
            </w:r>
          </w:p>
        </w:tc>
      </w:tr>
      <w:tr>
        <w:tblPrEx>
          <w:shd w:val="clear" w:color="auto" w:fill="ced7e7"/>
        </w:tblPrEx>
        <w:trPr>
          <w:trHeight w:val="682" w:hRule="atLeast"/>
        </w:trPr>
        <w:tc>
          <w:tcPr>
            <w:tcW w:type="dxa" w:w="20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Nature Garden</w:t>
            </w:r>
          </w:p>
        </w:tc>
        <w:tc>
          <w:tcPr>
            <w:tcW w:type="dxa" w:w="28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 w:val="left" w:pos="2160"/>
              </w:tabs>
            </w:pPr>
            <w:r>
              <w:rPr>
                <w:rFonts w:ascii="Arial" w:hAnsi="Arial"/>
                <w:sz w:val="18"/>
                <w:szCs w:val="18"/>
                <w:shd w:val="nil" w:color="auto" w:fill="auto"/>
                <w:rtl w:val="0"/>
                <w:lang w:val="en-US"/>
              </w:rPr>
              <w:t>NPF4 Policy 3 (Biodiversity), NPF4 Policy 20 (Blue and Green Infrastructure)</w:t>
            </w:r>
          </w:p>
        </w:tc>
        <w:tc>
          <w:tcPr>
            <w:tcW w:type="dxa" w:w="25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 w:val="left" w:pos="2160"/>
              </w:tabs>
            </w:pPr>
            <w:r>
              <w:rPr>
                <w:rFonts w:ascii="Arial" w:hAnsi="Arial"/>
                <w:sz w:val="18"/>
                <w:szCs w:val="18"/>
                <w:shd w:val="nil" w:color="auto" w:fill="auto"/>
                <w:rtl w:val="0"/>
                <w:lang w:val="en-US"/>
              </w:rPr>
              <w:t>LDP Policy NH3 (Natural Heritage)</w:t>
            </w:r>
          </w:p>
        </w:tc>
        <w:tc>
          <w:tcPr>
            <w:tcW w:type="dxa" w:w="1726"/>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Place, People</w:t>
            </w:r>
          </w:p>
        </w:tc>
      </w:tr>
      <w:tr>
        <w:tblPrEx>
          <w:shd w:val="clear" w:color="auto" w:fill="ced7e7"/>
        </w:tblPrEx>
        <w:trPr>
          <w:trHeight w:val="682" w:hRule="atLeast"/>
        </w:trPr>
        <w:tc>
          <w:tcPr>
            <w:tcW w:type="dxa" w:w="20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Housing Development</w:t>
            </w:r>
          </w:p>
        </w:tc>
        <w:tc>
          <w:tcPr>
            <w:tcW w:type="dxa" w:w="28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 w:val="left" w:pos="2160"/>
              </w:tabs>
            </w:pPr>
            <w:r>
              <w:rPr>
                <w:rFonts w:ascii="Arial" w:hAnsi="Arial"/>
                <w:sz w:val="18"/>
                <w:szCs w:val="18"/>
                <w:shd w:val="nil" w:color="auto" w:fill="auto"/>
                <w:rtl w:val="0"/>
                <w:lang w:val="en-US"/>
              </w:rPr>
              <w:t>NPF4 Policy 16 (Quality Homes), NPF4 Policy 17 (Rural Homes)</w:t>
            </w:r>
          </w:p>
        </w:tc>
        <w:tc>
          <w:tcPr>
            <w:tcW w:type="dxa" w:w="25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 w:val="left" w:pos="2160"/>
              </w:tabs>
            </w:pPr>
            <w:r>
              <w:rPr>
                <w:rFonts w:ascii="Arial" w:hAnsi="Arial"/>
                <w:sz w:val="18"/>
                <w:szCs w:val="18"/>
                <w:shd w:val="nil" w:color="auto" w:fill="auto"/>
                <w:rtl w:val="0"/>
                <w:lang w:val="en-US"/>
              </w:rPr>
              <w:t>LDP Policy H3 (Housing Development), LDP Policy H4 (Affordable Housing)</w:t>
            </w:r>
          </w:p>
        </w:tc>
        <w:tc>
          <w:tcPr>
            <w:tcW w:type="dxa" w:w="1726"/>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People, Money</w:t>
            </w:r>
          </w:p>
        </w:tc>
      </w:tr>
      <w:tr>
        <w:tblPrEx>
          <w:shd w:val="clear" w:color="auto" w:fill="ced7e7"/>
        </w:tblPrEx>
        <w:trPr>
          <w:trHeight w:val="682" w:hRule="atLeast"/>
        </w:trPr>
        <w:tc>
          <w:tcPr>
            <w:tcW w:type="dxa" w:w="20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Harbour Masterplan</w:t>
            </w:r>
          </w:p>
        </w:tc>
        <w:tc>
          <w:tcPr>
            <w:tcW w:type="dxa" w:w="28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 w:val="left" w:pos="2160"/>
              </w:tabs>
            </w:pPr>
            <w:r>
              <w:rPr>
                <w:rFonts w:ascii="Arial" w:hAnsi="Arial"/>
                <w:sz w:val="18"/>
                <w:szCs w:val="18"/>
                <w:shd w:val="nil" w:color="auto" w:fill="auto"/>
                <w:rtl w:val="0"/>
                <w:lang w:val="en-US"/>
              </w:rPr>
              <w:t>NPF4 Policy 29 (Rural Development), NPF4 Policy 13 (Sustainable Transport)</w:t>
            </w:r>
          </w:p>
        </w:tc>
        <w:tc>
          <w:tcPr>
            <w:tcW w:type="dxa" w:w="25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 w:val="left" w:pos="2160"/>
              </w:tabs>
            </w:pPr>
            <w:r>
              <w:rPr>
                <w:rFonts w:ascii="Arial" w:hAnsi="Arial"/>
                <w:sz w:val="18"/>
                <w:szCs w:val="18"/>
                <w:shd w:val="nil" w:color="auto" w:fill="auto"/>
                <w:rtl w:val="0"/>
                <w:lang w:val="en-US"/>
              </w:rPr>
              <w:t>LDP Policy ED1 (Support for Business and Industry)</w:t>
            </w:r>
          </w:p>
        </w:tc>
        <w:tc>
          <w:tcPr>
            <w:tcW w:type="dxa" w:w="1726"/>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Money, Place</w:t>
            </w:r>
          </w:p>
        </w:tc>
      </w:tr>
    </w:tbl>
    <w:p>
      <w:pPr>
        <w:pStyle w:val="Heading 2"/>
        <w:widowControl w:val="0"/>
        <w:ind w:left="108" w:hanging="108"/>
      </w:pPr>
    </w:p>
    <w:p>
      <w:pPr>
        <w:pStyle w:val="Heading 2"/>
        <w:widowControl w:val="0"/>
      </w:pPr>
    </w:p>
    <w:p>
      <w:pPr>
        <w:pStyle w:val="Heading 2"/>
        <w:widowControl w:val="0"/>
      </w:pPr>
    </w:p>
    <w:p>
      <w:pPr>
        <w:pStyle w:val="Heading 2"/>
        <w:rPr>
          <w:lang w:val="en-US"/>
        </w:rPr>
      </w:pPr>
    </w:p>
    <w:p>
      <w:pPr>
        <w:pStyle w:val="Heading 2"/>
        <w:rPr>
          <w:lang w:val="en-US"/>
        </w:rPr>
      </w:pPr>
    </w:p>
    <w:p>
      <w:pPr>
        <w:pStyle w:val="Heading 2"/>
        <w:rPr>
          <w:lang w:val="en-US"/>
        </w:rPr>
      </w:pPr>
    </w:p>
    <w:p>
      <w:pPr>
        <w:pStyle w:val="Heading 2"/>
      </w:pPr>
      <w:r>
        <w:rPr>
          <w:rFonts w:ascii="Arial Unicode MS" w:cs="Arial Unicode MS" w:hAnsi="Arial Unicode MS" w:eastAsia="Arial Unicode MS"/>
          <w:b w:val="0"/>
          <w:bCs w:val="0"/>
          <w:i w:val="0"/>
          <w:iCs w:val="0"/>
          <w:lang w:val="en-US"/>
        </w:rPr>
        <w:br w:type="page"/>
      </w:r>
    </w:p>
    <w:p>
      <w:pPr>
        <w:pStyle w:val="Heading 3"/>
      </w:pPr>
      <w:r>
        <w:rPr>
          <w:rtl w:val="0"/>
        </w:rPr>
        <w:t>Potential Conflicts and Mitigation</w:t>
      </w:r>
    </w:p>
    <w:tbl>
      <w:tblPr>
        <w:tblW w:w="902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800"/>
        <w:gridCol w:w="2100"/>
        <w:gridCol w:w="2100"/>
        <w:gridCol w:w="3026"/>
      </w:tblGrid>
      <w:tr>
        <w:tblPrEx>
          <w:shd w:val="clear" w:color="auto" w:fill="4f81bd"/>
        </w:tblPrEx>
        <w:trPr>
          <w:trHeight w:val="204" w:hRule="atLeast"/>
          <w:tblHeader/>
        </w:trPr>
        <w:tc>
          <w:tcPr>
            <w:tcW w:type="dxa" w:w="18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1f6b75"/>
            <w:tcMar>
              <w:top w:type="dxa" w:w="80"/>
              <w:left w:type="dxa" w:w="80"/>
              <w:bottom w:type="dxa" w:w="80"/>
              <w:right w:type="dxa" w:w="80"/>
            </w:tcMar>
            <w:vAlign w:val="top"/>
          </w:tcPr>
          <w:p>
            <w:pPr>
              <w:pStyle w:val="Default"/>
              <w:tabs>
                <w:tab w:val="left" w:pos="720"/>
                <w:tab w:val="left" w:pos="1440"/>
              </w:tabs>
            </w:pPr>
            <w:r>
              <w:rPr>
                <w:rFonts w:ascii="Arial" w:hAnsi="Arial"/>
                <w:b w:val="1"/>
                <w:bCs w:val="1"/>
                <w:outline w:val="0"/>
                <w:color w:val="ffffff"/>
                <w:sz w:val="18"/>
                <w:szCs w:val="18"/>
                <w:u w:color="ffffff"/>
                <w:shd w:val="nil" w:color="auto" w:fill="auto"/>
                <w:rtl w:val="0"/>
                <w:lang w:val="en-US"/>
                <w14:textFill>
                  <w14:solidFill>
                    <w14:srgbClr w14:val="FFFFFF"/>
                  </w14:solidFill>
                </w14:textFill>
              </w:rPr>
              <w:t>Proposal or Policy</w:t>
            </w:r>
          </w:p>
        </w:tc>
        <w:tc>
          <w:tcPr>
            <w:tcW w:type="dxa" w:w="21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1f6b75"/>
            <w:tcMar>
              <w:top w:type="dxa" w:w="80"/>
              <w:left w:type="dxa" w:w="80"/>
              <w:bottom w:type="dxa" w:w="80"/>
              <w:right w:type="dxa" w:w="80"/>
            </w:tcMar>
            <w:vAlign w:val="top"/>
          </w:tcPr>
          <w:p>
            <w:pPr>
              <w:pStyle w:val="Default"/>
              <w:tabs>
                <w:tab w:val="left" w:pos="720"/>
                <w:tab w:val="left" w:pos="1440"/>
              </w:tabs>
            </w:pPr>
            <w:r>
              <w:rPr>
                <w:rFonts w:ascii="Arial" w:hAnsi="Arial"/>
                <w:b w:val="1"/>
                <w:bCs w:val="1"/>
                <w:outline w:val="0"/>
                <w:color w:val="ffffff"/>
                <w:sz w:val="18"/>
                <w:szCs w:val="18"/>
                <w:u w:color="ffffff"/>
                <w:shd w:val="nil" w:color="auto" w:fill="auto"/>
                <w:rtl w:val="0"/>
                <w:lang w:val="en-US"/>
                <w14:textFill>
                  <w14:solidFill>
                    <w14:srgbClr w14:val="FFFFFF"/>
                  </w14:solidFill>
                </w14:textFill>
              </w:rPr>
              <w:t>Potential Conflict</w:t>
            </w:r>
          </w:p>
        </w:tc>
        <w:tc>
          <w:tcPr>
            <w:tcW w:type="dxa" w:w="21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1f6b75"/>
            <w:tcMar>
              <w:top w:type="dxa" w:w="80"/>
              <w:left w:type="dxa" w:w="80"/>
              <w:bottom w:type="dxa" w:w="80"/>
              <w:right w:type="dxa" w:w="80"/>
            </w:tcMar>
            <w:vAlign w:val="top"/>
          </w:tcPr>
          <w:p>
            <w:pPr>
              <w:pStyle w:val="Default"/>
              <w:tabs>
                <w:tab w:val="left" w:pos="720"/>
                <w:tab w:val="left" w:pos="1440"/>
              </w:tabs>
            </w:pPr>
            <w:r>
              <w:rPr>
                <w:rFonts w:ascii="Arial" w:hAnsi="Arial"/>
                <w:b w:val="1"/>
                <w:bCs w:val="1"/>
                <w:outline w:val="0"/>
                <w:color w:val="ffffff"/>
                <w:sz w:val="18"/>
                <w:szCs w:val="18"/>
                <w:u w:color="ffffff"/>
                <w:shd w:val="nil" w:color="auto" w:fill="auto"/>
                <w:rtl w:val="0"/>
                <w:lang w:val="fr-FR"/>
                <w14:textFill>
                  <w14:solidFill>
                    <w14:srgbClr w14:val="FFFFFF"/>
                  </w14:solidFill>
                </w14:textFill>
              </w:rPr>
              <w:t>Relevant Document</w:t>
            </w:r>
          </w:p>
        </w:tc>
        <w:tc>
          <w:tcPr>
            <w:tcW w:type="dxa" w:w="3026"/>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1f6b75"/>
            <w:tcMar>
              <w:top w:type="dxa" w:w="80"/>
              <w:left w:type="dxa" w:w="80"/>
              <w:bottom w:type="dxa" w:w="80"/>
              <w:right w:type="dxa" w:w="80"/>
            </w:tcMar>
            <w:vAlign w:val="top"/>
          </w:tcPr>
          <w:p>
            <w:pPr>
              <w:pStyle w:val="Default"/>
              <w:tabs>
                <w:tab w:val="left" w:pos="720"/>
                <w:tab w:val="left" w:pos="1440"/>
                <w:tab w:val="left" w:pos="2160"/>
                <w:tab w:val="left" w:pos="2880"/>
              </w:tabs>
            </w:pPr>
            <w:r>
              <w:rPr>
                <w:rFonts w:ascii="Arial" w:hAnsi="Arial"/>
                <w:b w:val="1"/>
                <w:bCs w:val="1"/>
                <w:outline w:val="0"/>
                <w:color w:val="ffffff"/>
                <w:sz w:val="18"/>
                <w:szCs w:val="18"/>
                <w:u w:color="ffffff"/>
                <w:shd w:val="nil" w:color="auto" w:fill="auto"/>
                <w:rtl w:val="0"/>
                <w:lang w:val="en-US"/>
                <w14:textFill>
                  <w14:solidFill>
                    <w14:srgbClr w14:val="FFFFFF"/>
                  </w14:solidFill>
                </w14:textFill>
              </w:rPr>
              <w:t>Suggested Mitigation</w:t>
            </w:r>
          </w:p>
        </w:tc>
      </w:tr>
      <w:tr>
        <w:tblPrEx>
          <w:shd w:val="clear" w:color="auto" w:fill="ced7e7"/>
        </w:tblPrEx>
        <w:trPr>
          <w:trHeight w:val="921" w:hRule="atLeast"/>
        </w:trPr>
        <w:tc>
          <w:tcPr>
            <w:tcW w:type="dxa" w:w="18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Burn Beach Expansion</w:t>
            </w:r>
          </w:p>
        </w:tc>
        <w:tc>
          <w:tcPr>
            <w:tcW w:type="dxa" w:w="21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Coastal reclamation may conflict with natural heritage and flood risk policies</w:t>
            </w:r>
          </w:p>
        </w:tc>
        <w:tc>
          <w:tcPr>
            <w:tcW w:type="dxa" w:w="21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LDP Policy NH1 (Natural Heritage), NPF4 Policy 22 (Flood Risk)</w:t>
            </w:r>
          </w:p>
        </w:tc>
        <w:tc>
          <w:tcPr>
            <w:tcW w:type="dxa" w:w="3026"/>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 w:val="left" w:pos="2160"/>
                <w:tab w:val="left" w:pos="2880"/>
              </w:tabs>
            </w:pPr>
            <w:r>
              <w:rPr>
                <w:rFonts w:ascii="Arial" w:hAnsi="Arial"/>
                <w:sz w:val="18"/>
                <w:szCs w:val="18"/>
                <w:shd w:val="nil" w:color="auto" w:fill="auto"/>
                <w:rtl w:val="0"/>
                <w:lang w:val="en-US"/>
              </w:rPr>
              <w:t>Use permeable surfaces, include flood modelling, consult SEPA early</w:t>
            </w:r>
          </w:p>
        </w:tc>
      </w:tr>
      <w:tr>
        <w:tblPrEx>
          <w:shd w:val="clear" w:color="auto" w:fill="ced7e7"/>
        </w:tblPrEx>
        <w:trPr>
          <w:trHeight w:val="682" w:hRule="atLeast"/>
        </w:trPr>
        <w:tc>
          <w:tcPr>
            <w:tcW w:type="dxa" w:w="18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Waterfront Walkways</w:t>
            </w:r>
          </w:p>
        </w:tc>
        <w:tc>
          <w:tcPr>
            <w:tcW w:type="dxa" w:w="21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Visual impact and accessibility concerns</w:t>
            </w:r>
          </w:p>
        </w:tc>
        <w:tc>
          <w:tcPr>
            <w:tcW w:type="dxa" w:w="21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NPF4 Policy 14 (Design, Quality and Place)</w:t>
            </w:r>
          </w:p>
        </w:tc>
        <w:tc>
          <w:tcPr>
            <w:tcW w:type="dxa" w:w="3026"/>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 w:val="left" w:pos="2160"/>
                <w:tab w:val="left" w:pos="2880"/>
              </w:tabs>
            </w:pPr>
            <w:r>
              <w:rPr>
                <w:rFonts w:ascii="Arial" w:hAnsi="Arial"/>
                <w:sz w:val="18"/>
                <w:szCs w:val="18"/>
                <w:shd w:val="nil" w:color="auto" w:fill="auto"/>
                <w:rtl w:val="0"/>
                <w:lang w:val="en-US"/>
              </w:rPr>
              <w:t>Inclusive design, community-led layout, phased implementation</w:t>
            </w:r>
          </w:p>
        </w:tc>
      </w:tr>
      <w:tr>
        <w:tblPrEx>
          <w:shd w:val="clear" w:color="auto" w:fill="ced7e7"/>
        </w:tblPrEx>
        <w:trPr>
          <w:trHeight w:val="682" w:hRule="atLeast"/>
        </w:trPr>
        <w:tc>
          <w:tcPr>
            <w:tcW w:type="dxa" w:w="18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Main Street Reconfiguration</w:t>
            </w:r>
          </w:p>
        </w:tc>
        <w:tc>
          <w:tcPr>
            <w:tcW w:type="dxa" w:w="21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Loss of parking may affect local businesses</w:t>
            </w:r>
          </w:p>
        </w:tc>
        <w:tc>
          <w:tcPr>
            <w:tcW w:type="dxa" w:w="21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SPP Priority: Money</w:t>
            </w:r>
          </w:p>
        </w:tc>
        <w:tc>
          <w:tcPr>
            <w:tcW w:type="dxa" w:w="3026"/>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 w:val="left" w:pos="2160"/>
                <w:tab w:val="left" w:pos="2880"/>
              </w:tabs>
            </w:pPr>
            <w:r>
              <w:rPr>
                <w:rFonts w:ascii="Arial" w:hAnsi="Arial"/>
                <w:sz w:val="18"/>
                <w:szCs w:val="18"/>
                <w:shd w:val="nil" w:color="auto" w:fill="auto"/>
                <w:rtl w:val="0"/>
                <w:lang w:val="en-US"/>
              </w:rPr>
              <w:t>Link to Burn Beach expansion, consult traders, provide alternative parking signage</w:t>
            </w:r>
          </w:p>
        </w:tc>
      </w:tr>
      <w:tr>
        <w:tblPrEx>
          <w:shd w:val="clear" w:color="auto" w:fill="ced7e7"/>
        </w:tblPrEx>
        <w:trPr>
          <w:trHeight w:val="682" w:hRule="atLeast"/>
        </w:trPr>
        <w:tc>
          <w:tcPr>
            <w:tcW w:type="dxa" w:w="18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Fraser Park Improvements</w:t>
            </w:r>
          </w:p>
        </w:tc>
        <w:tc>
          <w:tcPr>
            <w:tcW w:type="dxa" w:w="21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Noise and safety concerns for nearby residents</w:t>
            </w:r>
          </w:p>
        </w:tc>
        <w:tc>
          <w:tcPr>
            <w:tcW w:type="dxa" w:w="21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LDP Policy GP2</w:t>
            </w:r>
          </w:p>
        </w:tc>
        <w:tc>
          <w:tcPr>
            <w:tcW w:type="dxa" w:w="3026"/>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 w:val="left" w:pos="2160"/>
                <w:tab w:val="left" w:pos="2880"/>
              </w:tabs>
            </w:pPr>
            <w:r>
              <w:rPr>
                <w:rFonts w:ascii="Arial" w:hAnsi="Arial"/>
                <w:sz w:val="18"/>
                <w:szCs w:val="18"/>
                <w:shd w:val="nil" w:color="auto" w:fill="auto"/>
                <w:rtl w:val="0"/>
                <w:lang w:val="en-US"/>
              </w:rPr>
              <w:t>Install buffer planting, limit hours of use, involve youth groups in design</w:t>
            </w:r>
          </w:p>
        </w:tc>
      </w:tr>
      <w:tr>
        <w:tblPrEx>
          <w:shd w:val="clear" w:color="auto" w:fill="ced7e7"/>
        </w:tblPrEx>
        <w:trPr>
          <w:trHeight w:val="443" w:hRule="atLeast"/>
        </w:trPr>
        <w:tc>
          <w:tcPr>
            <w:tcW w:type="dxa" w:w="18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Tourism Infrastructure</w:t>
            </w:r>
          </w:p>
        </w:tc>
        <w:tc>
          <w:tcPr>
            <w:tcW w:type="dxa" w:w="21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Overdevelopment risk in scenic areas</w:t>
            </w:r>
          </w:p>
        </w:tc>
        <w:tc>
          <w:tcPr>
            <w:tcW w:type="dxa" w:w="21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NPF4 Policy 6, LDP Policy NH1</w:t>
            </w:r>
          </w:p>
        </w:tc>
        <w:tc>
          <w:tcPr>
            <w:tcW w:type="dxa" w:w="3026"/>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 w:val="left" w:pos="2160"/>
                <w:tab w:val="left" w:pos="2880"/>
              </w:tabs>
            </w:pPr>
            <w:r>
              <w:rPr>
                <w:rFonts w:ascii="Arial" w:hAnsi="Arial"/>
                <w:sz w:val="18"/>
                <w:szCs w:val="18"/>
                <w:shd w:val="nil" w:color="auto" w:fill="auto"/>
                <w:rtl w:val="0"/>
                <w:lang w:val="en-US"/>
              </w:rPr>
              <w:t>Sensitive siting, design codes, seasonal use strategy</w:t>
            </w:r>
          </w:p>
        </w:tc>
      </w:tr>
      <w:tr>
        <w:tblPrEx>
          <w:shd w:val="clear" w:color="auto" w:fill="ced7e7"/>
        </w:tblPrEx>
        <w:trPr>
          <w:trHeight w:val="443" w:hRule="atLeast"/>
        </w:trPr>
        <w:tc>
          <w:tcPr>
            <w:tcW w:type="dxa" w:w="18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Soft Play Facility</w:t>
            </w:r>
          </w:p>
        </w:tc>
        <w:tc>
          <w:tcPr>
            <w:tcW w:type="dxa" w:w="21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Viability and funding challenges</w:t>
            </w:r>
          </w:p>
        </w:tc>
        <w:tc>
          <w:tcPr>
            <w:tcW w:type="dxa" w:w="21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SPP Priority: Money</w:t>
            </w:r>
          </w:p>
        </w:tc>
        <w:tc>
          <w:tcPr>
            <w:tcW w:type="dxa" w:w="3026"/>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 w:val="left" w:pos="2160"/>
                <w:tab w:val="left" w:pos="2880"/>
              </w:tabs>
            </w:pPr>
            <w:r>
              <w:rPr>
                <w:rFonts w:ascii="Arial" w:hAnsi="Arial"/>
                <w:sz w:val="18"/>
                <w:szCs w:val="18"/>
                <w:shd w:val="nil" w:color="auto" w:fill="auto"/>
                <w:rtl w:val="0"/>
                <w:lang w:val="en-US"/>
              </w:rPr>
              <w:t>Explore multi-use model, phased delivery, community ownership</w:t>
            </w:r>
          </w:p>
        </w:tc>
      </w:tr>
      <w:tr>
        <w:tblPrEx>
          <w:shd w:val="clear" w:color="auto" w:fill="ced7e7"/>
        </w:tblPrEx>
        <w:trPr>
          <w:trHeight w:val="443" w:hRule="atLeast"/>
        </w:trPr>
        <w:tc>
          <w:tcPr>
            <w:tcW w:type="dxa" w:w="18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Nature Garden</w:t>
            </w:r>
          </w:p>
        </w:tc>
        <w:tc>
          <w:tcPr>
            <w:tcW w:type="dxa" w:w="21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Land availability and maintenance burden</w:t>
            </w:r>
          </w:p>
        </w:tc>
        <w:tc>
          <w:tcPr>
            <w:tcW w:type="dxa" w:w="21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LDP Policy NH3</w:t>
            </w:r>
          </w:p>
        </w:tc>
        <w:tc>
          <w:tcPr>
            <w:tcW w:type="dxa" w:w="3026"/>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 w:val="left" w:pos="2160"/>
                <w:tab w:val="left" w:pos="2880"/>
              </w:tabs>
            </w:pPr>
            <w:r>
              <w:rPr>
                <w:rFonts w:ascii="Arial" w:hAnsi="Arial"/>
                <w:sz w:val="18"/>
                <w:szCs w:val="18"/>
                <w:shd w:val="nil" w:color="auto" w:fill="auto"/>
                <w:rtl w:val="0"/>
                <w:lang w:val="en-US"/>
              </w:rPr>
              <w:t>Use underused land, partner with schools and volunteers</w:t>
            </w:r>
          </w:p>
        </w:tc>
      </w:tr>
      <w:tr>
        <w:tblPrEx>
          <w:shd w:val="clear" w:color="auto" w:fill="ced7e7"/>
        </w:tblPrEx>
        <w:trPr>
          <w:trHeight w:val="443" w:hRule="atLeast"/>
        </w:trPr>
        <w:tc>
          <w:tcPr>
            <w:tcW w:type="dxa" w:w="18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Housing Development</w:t>
            </w:r>
          </w:p>
        </w:tc>
        <w:tc>
          <w:tcPr>
            <w:tcW w:type="dxa" w:w="21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Density and amenity concerns</w:t>
            </w:r>
          </w:p>
        </w:tc>
        <w:tc>
          <w:tcPr>
            <w:tcW w:type="dxa" w:w="21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LDP Policy H6 (Amenity Space), NPF4 Policy 16</w:t>
            </w:r>
          </w:p>
        </w:tc>
        <w:tc>
          <w:tcPr>
            <w:tcW w:type="dxa" w:w="3026"/>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 w:val="left" w:pos="2160"/>
                <w:tab w:val="left" w:pos="2880"/>
              </w:tabs>
            </w:pPr>
            <w:r>
              <w:rPr>
                <w:rFonts w:ascii="Arial" w:hAnsi="Arial"/>
                <w:sz w:val="18"/>
                <w:szCs w:val="18"/>
                <w:shd w:val="nil" w:color="auto" w:fill="auto"/>
                <w:rtl w:val="0"/>
                <w:lang w:val="en-US"/>
              </w:rPr>
              <w:t>Include green space, low-impact design, community consultation</w:t>
            </w:r>
          </w:p>
        </w:tc>
      </w:tr>
      <w:tr>
        <w:tblPrEx>
          <w:shd w:val="clear" w:color="auto" w:fill="ced7e7"/>
        </w:tblPrEx>
        <w:trPr>
          <w:trHeight w:val="682" w:hRule="atLeast"/>
        </w:trPr>
        <w:tc>
          <w:tcPr>
            <w:tcW w:type="dxa" w:w="18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Harbour Masterplan</w:t>
            </w:r>
          </w:p>
        </w:tc>
        <w:tc>
          <w:tcPr>
            <w:tcW w:type="dxa" w:w="21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Industrial expansion may conflict with heritage and landscape</w:t>
            </w:r>
          </w:p>
        </w:tc>
        <w:tc>
          <w:tcPr>
            <w:tcW w:type="dxa" w:w="21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NPF4 Policy 7, LDP Policy HE1 (Historic Environment)</w:t>
            </w:r>
          </w:p>
        </w:tc>
        <w:tc>
          <w:tcPr>
            <w:tcW w:type="dxa" w:w="3026"/>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 w:val="left" w:pos="2160"/>
                <w:tab w:val="left" w:pos="2880"/>
              </w:tabs>
            </w:pPr>
            <w:r>
              <w:rPr>
                <w:rFonts w:ascii="Arial" w:hAnsi="Arial"/>
                <w:sz w:val="18"/>
                <w:szCs w:val="18"/>
                <w:shd w:val="nil" w:color="auto" w:fill="auto"/>
                <w:rtl w:val="0"/>
                <w:lang w:val="en-US"/>
              </w:rPr>
              <w:t>Heritage impact assessment, design review, stakeholder engagement</w:t>
            </w:r>
          </w:p>
        </w:tc>
      </w:tr>
      <w:tr>
        <w:tblPrEx>
          <w:shd w:val="clear" w:color="auto" w:fill="ced7e7"/>
        </w:tblPrEx>
        <w:trPr>
          <w:trHeight w:val="682" w:hRule="atLeast"/>
        </w:trPr>
        <w:tc>
          <w:tcPr>
            <w:tcW w:type="dxa" w:w="18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Community Wealth Building</w:t>
            </w:r>
          </w:p>
        </w:tc>
        <w:tc>
          <w:tcPr>
            <w:tcW w:type="dxa" w:w="21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Risk of perceived anti-competition stance</w:t>
            </w:r>
          </w:p>
        </w:tc>
        <w:tc>
          <w:tcPr>
            <w:tcW w:type="dxa" w:w="21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NPF4 Policy 25 (Community Wealth Building)</w:t>
            </w:r>
          </w:p>
        </w:tc>
        <w:tc>
          <w:tcPr>
            <w:tcW w:type="dxa" w:w="3026"/>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 w:val="left" w:pos="2160"/>
                <w:tab w:val="left" w:pos="2880"/>
              </w:tabs>
            </w:pPr>
            <w:r>
              <w:rPr>
                <w:rFonts w:ascii="Arial" w:hAnsi="Arial"/>
                <w:sz w:val="18"/>
                <w:szCs w:val="18"/>
                <w:shd w:val="nil" w:color="auto" w:fill="auto"/>
                <w:rtl w:val="0"/>
                <w:lang w:val="en-US"/>
              </w:rPr>
              <w:t>Frame as resilience and wellbeing measure, include economic impact assessment</w:t>
            </w:r>
          </w:p>
        </w:tc>
      </w:tr>
      <w:tr>
        <w:tblPrEx>
          <w:shd w:val="clear" w:color="auto" w:fill="ced7e7"/>
        </w:tblPrEx>
        <w:trPr>
          <w:trHeight w:val="682" w:hRule="atLeast"/>
        </w:trPr>
        <w:tc>
          <w:tcPr>
            <w:tcW w:type="dxa" w:w="18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Meanwhile Use Proposal</w:t>
            </w:r>
          </w:p>
        </w:tc>
        <w:tc>
          <w:tcPr>
            <w:tcW w:type="dxa" w:w="21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Temporary uses may conflict with long-term zoning</w:t>
            </w:r>
          </w:p>
        </w:tc>
        <w:tc>
          <w:tcPr>
            <w:tcW w:type="dxa" w:w="21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LDP Policy GP1 (Sustainable Development)</w:t>
            </w:r>
          </w:p>
        </w:tc>
        <w:tc>
          <w:tcPr>
            <w:tcW w:type="dxa" w:w="3026"/>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5fafa"/>
            <w:tcMar>
              <w:top w:type="dxa" w:w="80"/>
              <w:left w:type="dxa" w:w="80"/>
              <w:bottom w:type="dxa" w:w="80"/>
              <w:right w:type="dxa" w:w="80"/>
            </w:tcMar>
            <w:vAlign w:val="top"/>
          </w:tcPr>
          <w:p>
            <w:pPr>
              <w:pStyle w:val="Default"/>
              <w:tabs>
                <w:tab w:val="left" w:pos="720"/>
                <w:tab w:val="left" w:pos="1440"/>
                <w:tab w:val="left" w:pos="2160"/>
                <w:tab w:val="left" w:pos="2880"/>
              </w:tabs>
            </w:pPr>
            <w:r>
              <w:rPr>
                <w:rFonts w:ascii="Arial" w:hAnsi="Arial"/>
                <w:sz w:val="18"/>
                <w:szCs w:val="18"/>
                <w:shd w:val="nil" w:color="auto" w:fill="auto"/>
                <w:rtl w:val="0"/>
                <w:lang w:val="en-US"/>
              </w:rPr>
              <w:t>Time-limited permissions, community benefit reporting</w:t>
            </w:r>
          </w:p>
        </w:tc>
      </w:tr>
      <w:tr>
        <w:tblPrEx>
          <w:shd w:val="clear" w:color="auto" w:fill="ced7e7"/>
        </w:tblPrEx>
        <w:trPr>
          <w:trHeight w:val="682" w:hRule="atLeast"/>
        </w:trPr>
        <w:tc>
          <w:tcPr>
            <w:tcW w:type="dxa" w:w="18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Rural Development Proposal</w:t>
            </w:r>
          </w:p>
        </w:tc>
        <w:tc>
          <w:tcPr>
            <w:tcW w:type="dxa" w:w="21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Risk of inconsistency with compact growth principles</w:t>
            </w:r>
          </w:p>
        </w:tc>
        <w:tc>
          <w:tcPr>
            <w:tcW w:type="dxa" w:w="2100"/>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s>
            </w:pPr>
            <w:r>
              <w:rPr>
                <w:rFonts w:ascii="Arial" w:hAnsi="Arial"/>
                <w:sz w:val="18"/>
                <w:szCs w:val="18"/>
                <w:shd w:val="nil" w:color="auto" w:fill="auto"/>
                <w:rtl w:val="0"/>
                <w:lang w:val="en-US"/>
              </w:rPr>
              <w:t>NPF4 Policy 2 (Climate Mitigation)</w:t>
            </w:r>
          </w:p>
        </w:tc>
        <w:tc>
          <w:tcPr>
            <w:tcW w:type="dxa" w:w="3026"/>
            <w:tcBorders>
              <w:top w:val="single" w:color="aaaaaa" w:sz="2" w:space="0" w:shadow="0" w:frame="0"/>
              <w:left w:val="single" w:color="aaaaaa" w:sz="2" w:space="0" w:shadow="0" w:frame="0"/>
              <w:bottom w:val="single" w:color="aaaaaa" w:sz="2" w:space="0" w:shadow="0" w:frame="0"/>
              <w:right w:val="single" w:color="aaaaaa" w:sz="2" w:space="0" w:shadow="0" w:frame="0"/>
            </w:tcBorders>
            <w:shd w:val="clear" w:color="auto" w:fill="ffffff"/>
            <w:tcMar>
              <w:top w:type="dxa" w:w="80"/>
              <w:left w:type="dxa" w:w="80"/>
              <w:bottom w:type="dxa" w:w="80"/>
              <w:right w:type="dxa" w:w="80"/>
            </w:tcMar>
            <w:vAlign w:val="top"/>
          </w:tcPr>
          <w:p>
            <w:pPr>
              <w:pStyle w:val="Default"/>
              <w:tabs>
                <w:tab w:val="left" w:pos="720"/>
                <w:tab w:val="left" w:pos="1440"/>
                <w:tab w:val="left" w:pos="2160"/>
                <w:tab w:val="left" w:pos="2880"/>
              </w:tabs>
            </w:pPr>
            <w:r>
              <w:rPr>
                <w:rFonts w:ascii="Arial" w:hAnsi="Arial"/>
                <w:sz w:val="18"/>
                <w:szCs w:val="18"/>
                <w:shd w:val="nil" w:color="auto" w:fill="auto"/>
                <w:rtl w:val="0"/>
                <w:lang w:val="en-US"/>
              </w:rPr>
              <w:t>Define rural resilience zones, link to transport and energy strategies</w:t>
            </w:r>
          </w:p>
        </w:tc>
      </w:tr>
    </w:tbl>
    <w:p>
      <w:pPr>
        <w:pStyle w:val="Heading 2"/>
        <w:widowControl w:val="0"/>
        <w:ind w:left="108" w:hanging="108"/>
      </w:pPr>
    </w:p>
    <w:p>
      <w:pPr>
        <w:pStyle w:val="Heading 2"/>
        <w:widowControl w:val="0"/>
      </w:pPr>
    </w:p>
    <w:p>
      <w:pPr>
        <w:pStyle w:val="Heading 2"/>
        <w:widowControl w:val="0"/>
      </w:pPr>
      <w:r>
        <w:rPr>
          <w:rFonts w:ascii="Arial Unicode MS" w:cs="Arial Unicode MS" w:hAnsi="Arial Unicode MS" w:eastAsia="Arial Unicode MS"/>
          <w:b w:val="0"/>
          <w:bCs w:val="0"/>
          <w:i w:val="0"/>
          <w:iCs w:val="0"/>
          <w:outline w:val="0"/>
          <w:color w:val="000000"/>
          <w:u w:color="000000"/>
          <w14:textFill>
            <w14:solidFill>
              <w14:srgbClr w14:val="000000"/>
            </w14:solidFill>
          </w14:textFill>
        </w:rPr>
        <w:br w:type="page"/>
      </w:r>
    </w:p>
    <w:p>
      <w:pPr>
        <w:pStyle w:val="Heading"/>
      </w:pPr>
      <w:r>
        <w:rPr>
          <w:rtl w:val="0"/>
        </w:rPr>
        <w:t>12. Statement Regarding the Level of Community Support</w:t>
      </w:r>
    </w:p>
    <w:p>
      <w:pPr>
        <w:pStyle w:val="Body"/>
        <w:rPr>
          <w:outline w:val="0"/>
          <w:color w:val="000000"/>
          <w:sz w:val="22"/>
          <w:szCs w:val="22"/>
          <w:u w:color="000000"/>
          <w14:textFill>
            <w14:solidFill>
              <w14:srgbClr w14:val="000000"/>
            </w14:solidFill>
          </w14:textFill>
        </w:rPr>
      </w:pPr>
      <w:r>
        <w:rPr>
          <w:outline w:val="0"/>
          <w:color w:val="000000"/>
          <w:sz w:val="22"/>
          <w:szCs w:val="22"/>
          <w:u w:color="000000"/>
          <w:rtl w:val="0"/>
          <w:lang w:val="en-US"/>
          <w14:textFill>
            <w14:solidFill>
              <w14:srgbClr w14:val="000000"/>
            </w14:solidFill>
          </w14:textFill>
        </w:rPr>
        <w:t>The Scalloway Local Place Plan is the result of extensive community engagement through the Re-Create Scalloway initiative and Destination Scalloway masterplan. Over 600 individuals participated in surveys, workshops, youth events, and public meetings. The plan reflects broad community support and incorporates feedback from all age groups, including targeted youth engagement and landowner consultation.</w:t>
      </w:r>
    </w:p>
    <w:p>
      <w:pPr>
        <w:pStyle w:val="List Paragraph"/>
        <w:spacing w:after="80"/>
        <w:rPr>
          <w:outline w:val="0"/>
          <w:color w:val="000000"/>
          <w:sz w:val="22"/>
          <w:szCs w:val="22"/>
          <w:u w:color="000000"/>
          <w14:textFill>
            <w14:solidFill>
              <w14:srgbClr w14:val="000000"/>
            </w14:solidFill>
          </w14:textFill>
        </w:rPr>
      </w:pPr>
    </w:p>
    <w:p>
      <w:pPr>
        <w:pStyle w:val="List Paragraph"/>
        <w:spacing w:after="80"/>
      </w:pPr>
      <w:r>
        <w:rPr>
          <w:rFonts w:ascii="Arial" w:hAnsi="Arial"/>
          <w:outline w:val="0"/>
          <w:color w:val="000000"/>
          <w:sz w:val="22"/>
          <w:szCs w:val="22"/>
          <w:u w:color="000000"/>
          <w:rtl w:val="0"/>
          <w:lang w:val="en-US"/>
          <w14:textFill>
            <w14:solidFill>
              <w14:srgbClr w14:val="000000"/>
            </w14:solidFill>
          </w14:textFill>
        </w:rPr>
        <w:t>The plan has been prepared by Scalloway Community Council and is supported by its members, the Scalloway Community Development Company, and Shetland Islands Council</w:t>
      </w:r>
      <w:r>
        <w:rPr>
          <w:rFonts w:ascii="Arial Unicode MS" w:hAnsi="Arial Unicode MS" w:hint="default"/>
          <w:outline w:val="0"/>
          <w:color w:val="000000"/>
          <w:sz w:val="22"/>
          <w:szCs w:val="22"/>
          <w:u w:color="000000"/>
          <w:rtl w:val="1"/>
          <w14:textFill>
            <w14:solidFill>
              <w14:srgbClr w14:val="000000"/>
            </w14:solidFill>
          </w14:textFill>
        </w:rPr>
        <w:t>’</w:t>
      </w:r>
      <w:r>
        <w:rPr>
          <w:rFonts w:ascii="Arial" w:hAnsi="Arial"/>
          <w:outline w:val="0"/>
          <w:color w:val="000000"/>
          <w:sz w:val="22"/>
          <w:szCs w:val="22"/>
          <w:u w:color="000000"/>
          <w:rtl w:val="0"/>
          <w:lang w:val="en-US"/>
          <w14:textFill>
            <w14:solidFill>
              <w14:srgbClr w14:val="000000"/>
            </w14:solidFill>
          </w14:textFill>
        </w:rPr>
        <w:t>s planning and community planning services.</w:t>
      </w:r>
    </w:p>
    <w:p>
      <w:pPr>
        <w:pStyle w:val="Heading 3"/>
      </w:pPr>
      <w:r>
        <w:rPr>
          <w:rtl w:val="0"/>
        </w:rPr>
        <w:t xml:space="preserve">Key </w:t>
      </w:r>
      <w:r>
        <w:rPr>
          <w:rtl w:val="0"/>
        </w:rPr>
        <w:t xml:space="preserve">initial </w:t>
      </w:r>
      <w:r>
        <w:rPr>
          <w:rtl w:val="0"/>
        </w:rPr>
        <w:t>engagement</w:t>
      </w:r>
    </w:p>
    <w:p>
      <w:pPr>
        <w:pStyle w:val="Body"/>
      </w:pPr>
      <w:r>
        <w:rPr>
          <w:rtl w:val="0"/>
        </w:rPr>
        <w:t>F</w:t>
      </w:r>
      <w:r>
        <w:rPr>
          <w:rtl w:val="0"/>
        </w:rPr>
        <w:t>igures include</w:t>
      </w:r>
      <w:r>
        <w:rPr>
          <w:rtl w:val="0"/>
        </w:rPr>
        <w:t>d (2018 - 2019. See ReCreate Scalloway Documents)</w:t>
      </w:r>
      <w:r>
        <w:rPr>
          <w:rtl w:val="0"/>
        </w:rPr>
        <w:t>:</w:t>
      </w:r>
    </w:p>
    <w:p>
      <w:pPr>
        <w:pStyle w:val="Body"/>
        <w:numPr>
          <w:ilvl w:val="0"/>
          <w:numId w:val="2"/>
        </w:numPr>
      </w:pPr>
      <w:r>
        <w:rPr>
          <w:rFonts w:ascii="Arial" w:hAnsi="Arial"/>
          <w:outline w:val="0"/>
          <w:color w:val="000000"/>
          <w:u w:color="000000"/>
          <w:rtl w:val="0"/>
          <w:lang w:val="en-US"/>
          <w14:textFill>
            <w14:solidFill>
              <w14:srgbClr w14:val="000000"/>
            </w14:solidFill>
          </w14:textFill>
        </w:rPr>
        <w:t>214 people attended the Re-Create Scalloway workshops (May, June and November 2018).</w:t>
      </w:r>
    </w:p>
    <w:p>
      <w:pPr>
        <w:pStyle w:val="Body"/>
        <w:numPr>
          <w:ilvl w:val="0"/>
          <w:numId w:val="2"/>
        </w:numPr>
      </w:pPr>
      <w:r>
        <w:rPr>
          <w:rFonts w:ascii="Arial" w:hAnsi="Arial"/>
          <w:outline w:val="0"/>
          <w:color w:val="000000"/>
          <w:u w:color="000000"/>
          <w:rtl w:val="0"/>
          <w:lang w:val="en-US"/>
          <w14:textFill>
            <w14:solidFill>
              <w14:srgbClr w14:val="000000"/>
            </w14:solidFill>
          </w14:textFill>
        </w:rPr>
        <w:t>296 young people engaged through the Primary School, Anderson High School and NAFC Marine Centre.</w:t>
      </w:r>
    </w:p>
    <w:p>
      <w:pPr>
        <w:pStyle w:val="Body"/>
        <w:numPr>
          <w:ilvl w:val="0"/>
          <w:numId w:val="2"/>
        </w:numPr>
      </w:pPr>
      <w:r>
        <w:rPr>
          <w:rFonts w:ascii="Arial" w:hAnsi="Arial"/>
          <w:outline w:val="0"/>
          <w:color w:val="000000"/>
          <w:u w:color="000000"/>
          <w:rtl w:val="0"/>
          <w:lang w:val="en-US"/>
          <w14:textFill>
            <w14:solidFill>
              <w14:srgbClr w14:val="000000"/>
            </w14:solidFill>
          </w14:textFill>
        </w:rPr>
        <w:t>166 pre-consultation surveys completed and returned.</w:t>
      </w:r>
    </w:p>
    <w:p>
      <w:pPr>
        <w:pStyle w:val="Body"/>
        <w:numPr>
          <w:ilvl w:val="0"/>
          <w:numId w:val="2"/>
        </w:numPr>
      </w:pPr>
      <w:r>
        <w:rPr>
          <w:rFonts w:ascii="Arial" w:hAnsi="Arial"/>
          <w:outline w:val="0"/>
          <w:color w:val="000000"/>
          <w:u w:color="000000"/>
          <w:rtl w:val="0"/>
          <w:lang w:val="en-US"/>
          <w14:textFill>
            <w14:solidFill>
              <w14:srgbClr w14:val="000000"/>
            </w14:solidFill>
          </w14:textFill>
        </w:rPr>
        <w:t>157 people voted on priorities at the November 2018 event.</w:t>
      </w:r>
    </w:p>
    <w:p>
      <w:pPr>
        <w:pStyle w:val="List Paragraph"/>
        <w:bidi w:val="0"/>
        <w:spacing w:after="80"/>
        <w:ind w:left="0" w:right="0" w:firstLine="0"/>
        <w:jc w:val="left"/>
        <w:rPr>
          <w:rFonts w:ascii="Arial" w:cs="Arial" w:hAnsi="Arial" w:eastAsia="Arial"/>
          <w:outline w:val="0"/>
          <w:color w:val="000000"/>
          <w:sz w:val="22"/>
          <w:szCs w:val="22"/>
          <w:u w:color="000000"/>
          <w:rtl w:val="0"/>
          <w14:textFill>
            <w14:solidFill>
              <w14:srgbClr w14:val="000000"/>
            </w14:solidFill>
          </w14:textFill>
        </w:rPr>
      </w:pPr>
    </w:p>
    <w:p>
      <w:pPr>
        <w:pStyle w:val="Heading 3"/>
      </w:pPr>
      <w:r>
        <w:rPr>
          <w:rtl w:val="0"/>
        </w:rPr>
        <w:t>Secondary Consultations (2021-2022)</w:t>
      </w:r>
    </w:p>
    <w:p>
      <w:pPr>
        <w:pStyle w:val="Body"/>
      </w:pPr>
      <w:r>
        <w:rPr>
          <w:rtl w:val="0"/>
        </w:rPr>
        <w:t>D</w:t>
      </w:r>
      <w:r>
        <w:rPr>
          <w:rtl w:val="0"/>
        </w:rPr>
        <w:t>rop-in public exhibition at Scalloway Public Hall. This was held over Friday 19th (1-5pm) and Saturday 20th (10am-5pm) November 2021. A set of 14 A1 boards were displayed explaining the project and setting out numerous questions and proposals for the area. Two members of the design team were present to answer questions and discuss ideas with the more than 70 local people</w:t>
      </w:r>
      <w:r>
        <w:rPr>
          <w:rtl w:val="0"/>
        </w:rPr>
        <w:t xml:space="preserv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40" w:line="240" w:lineRule="auto"/>
        <w:jc w:val="left"/>
        <w:rPr>
          <w:rFonts w:ascii="Arial" w:cs="Arial" w:hAnsi="Arial" w:eastAsia="Arial"/>
          <w:b w:val="1"/>
          <w:bCs w:val="1"/>
          <w:sz w:val="22"/>
          <w:szCs w:val="22"/>
          <w14:textOutline>
            <w14:noFill/>
          </w14:textOutline>
        </w:rPr>
      </w:pPr>
    </w:p>
    <w:p>
      <w:pPr>
        <w:pStyle w:val="Body"/>
      </w:pPr>
      <w:r>
        <w:rPr>
          <w:rtl w:val="0"/>
        </w:rPr>
        <w:t xml:space="preserve">Stakeholder Consultation </w:t>
      </w:r>
      <w:r>
        <w:rPr>
          <w:rtl w:val="0"/>
        </w:rPr>
        <w:t xml:space="preserve">— </w:t>
      </w:r>
      <w:r>
        <w:rPr>
          <w:rtl w:val="0"/>
        </w:rPr>
        <w:t>Destination Scalloway Masterplan (2021</w:t>
      </w:r>
      <w:r>
        <w:rPr>
          <w:rtl w:val="0"/>
        </w:rPr>
        <w:t>–</w:t>
      </w:r>
      <w:r>
        <w:rPr>
          <w:rtl w:val="0"/>
        </w:rPr>
        <w:t>22)</w:t>
      </w:r>
    </w:p>
    <w:p>
      <w:pPr>
        <w:pStyle w:val="Body"/>
      </w:pPr>
      <w:r>
        <w:rPr>
          <w:rtl w:val="0"/>
        </w:rPr>
        <w:t>Alongside the wider public engagement, Ironside</w:t>
      </w:r>
      <w:r>
        <w:rPr>
          <w:rtl w:val="0"/>
        </w:rPr>
        <w:t>-</w:t>
      </w:r>
      <w:r>
        <w:rPr>
          <w:rtl w:val="0"/>
        </w:rPr>
        <w:t>Farrar consultants held targeted discussions with over 20 waterfront businesses, community organisations and statutory bodies between August 2021 and February 2022, as part of the Scalloway Waterfront &amp; Town Centre Feasibility Study. Those consulted included GAADA (visual arts charity, then exploring a new accessible arts facility), Malakoff Ltd (marine/diving operations at Moore's Yard), H. Williamson &amp; Sons (marine electronics), Scalloway Meat Company, The Swan Trust, Scalloway Museum, Scalloway Youth Centre Trust, Scalloway Boating Club, Scalloway Motors, the Kiln Bar, the Cornerstone Caf</w:t>
      </w:r>
      <w:r>
        <w:rPr>
          <w:rtl w:val="0"/>
          <w:lang w:val="fr-FR"/>
        </w:rPr>
        <w:t>é</w:t>
      </w:r>
      <w:r>
        <w:rPr>
          <w:rtl w:val="0"/>
        </w:rPr>
        <w:t>, the Walk Scalloway Group, and Shetland Islands Council's planning, roads, and ports &amp; harbours teams.</w:t>
      </w:r>
    </w:p>
    <w:p>
      <w:pPr>
        <w:pStyle w:val="Body"/>
      </w:pPr>
      <w:r>
        <w:rPr>
          <w:rtl w:val="0"/>
        </w:rPr>
        <w:t>Recurring themes included:</w:t>
      </w:r>
    </w:p>
    <w:p>
      <w:pPr>
        <w:pStyle w:val="Body"/>
        <w:numPr>
          <w:ilvl w:val="0"/>
          <w:numId w:val="15"/>
        </w:numPr>
      </w:pPr>
      <w:r>
        <w:rPr>
          <w:rtl w:val="0"/>
        </w:rPr>
        <w:t>Parking pressure along Main Street and shared courtyards, and support for expanding the Burn Beach car park (with a clear preference for keeping its existing entrance point)</w:t>
      </w:r>
    </w:p>
    <w:p>
      <w:pPr>
        <w:pStyle w:val="Body"/>
        <w:numPr>
          <w:ilvl w:val="0"/>
          <w:numId w:val="15"/>
        </w:numPr>
      </w:pPr>
      <w:r>
        <w:rPr>
          <w:rtl w:val="0"/>
        </w:rPr>
        <w:t>Support for repairing and extending waterfront walkways and piers, including berthing for visiting yachts and The Swan</w:t>
      </w:r>
    </w:p>
    <w:p>
      <w:pPr>
        <w:pStyle w:val="Body"/>
        <w:numPr>
          <w:ilvl w:val="0"/>
          <w:numId w:val="15"/>
        </w:numPr>
      </w:pPr>
      <w:r>
        <w:rPr>
          <w:rtl w:val="0"/>
        </w:rPr>
        <w:t>Flood risk and the need for durable flood defences, with scepticism about rock armour as a solution</w:t>
      </w:r>
    </w:p>
    <w:p>
      <w:pPr>
        <w:pStyle w:val="Body"/>
        <w:numPr>
          <w:ilvl w:val="0"/>
          <w:numId w:val="15"/>
        </w:numPr>
      </w:pPr>
      <w:r>
        <w:rPr>
          <w:rtl w:val="0"/>
        </w:rPr>
        <w:t>Pedestrian safety concerns, particularly at school drop-off and the New Road corner, and demand for a safe crossing from East Voe</w:t>
      </w:r>
    </w:p>
    <w:p>
      <w:pPr>
        <w:pStyle w:val="Body"/>
        <w:numPr>
          <w:ilvl w:val="0"/>
          <w:numId w:val="15"/>
        </w:numPr>
      </w:pPr>
      <w:r>
        <w:rPr>
          <w:rtl w:val="0"/>
        </w:rPr>
        <w:t>Land scarcity constraining growth for several local businesses and for the harbour itself</w:t>
      </w:r>
    </w:p>
    <w:p>
      <w:pPr>
        <w:pStyle w:val="Body"/>
        <w:numPr>
          <w:ilvl w:val="0"/>
          <w:numId w:val="15"/>
        </w:numPr>
      </w:pPr>
      <w:r>
        <w:rPr>
          <w:rtl w:val="0"/>
        </w:rPr>
        <w:t>Harbour growth pressures, with SIC Ports &amp; Harbours flagging future investment needs and the incompatibility of large vessel operations with leisure/personal watercraft</w:t>
      </w:r>
    </w:p>
    <w:p>
      <w:pPr>
        <w:pStyle w:val="Body"/>
        <w:numPr>
          <w:ilvl w:val="0"/>
          <w:numId w:val="15"/>
        </w:numPr>
      </w:pPr>
      <w:r>
        <w:rPr>
          <w:rtl w:val="0"/>
        </w:rPr>
        <w:t>Museum capacity pressures from cruise-ship coach traffic (pending Castle restoration), and calls for visitors to be drawn further into the village</w:t>
      </w:r>
    </w:p>
    <w:p>
      <w:pPr>
        <w:pStyle w:val="Body"/>
        <w:numPr>
          <w:ilvl w:val="0"/>
          <w:numId w:val="15"/>
        </w:numPr>
      </w:pPr>
      <w:r>
        <w:rPr>
          <w:rtl w:val="0"/>
        </w:rPr>
        <w:t xml:space="preserve">Fraser Park's disrepair </w:t>
      </w:r>
      <w:r>
        <w:rPr>
          <w:rtl w:val="0"/>
        </w:rPr>
        <w:t xml:space="preserve">— </w:t>
      </w:r>
      <w:r>
        <w:rPr>
          <w:rtl w:val="0"/>
        </w:rPr>
        <w:t xml:space="preserve">unstable boundary walls, ageing equipment </w:t>
      </w:r>
      <w:r>
        <w:rPr>
          <w:rtl w:val="0"/>
        </w:rPr>
        <w:t xml:space="preserve">— </w:t>
      </w:r>
      <w:r>
        <w:rPr>
          <w:rtl w:val="0"/>
        </w:rPr>
        <w:t>and the lack of a dedicated maintenance funding stream</w:t>
      </w:r>
    </w:p>
    <w:p>
      <w:pPr>
        <w:pStyle w:val="Body"/>
      </w:pPr>
      <w:r>
        <w:rPr>
          <w:rtl w:val="0"/>
        </w:rPr>
        <w:t>This stakeholder engagement directly informed the Destination Scalloway masterplan (2022) and underpins several proposals carried forward into this Local Place Plan, including waterfront walkway improvements, Burn Beach expansion, Main Street reconfiguration, Harbour Masterplan implementation, and Fraser Park improvements.</w:t>
      </w:r>
    </w:p>
    <w:p>
      <w:pPr>
        <w:pStyle w:val="Body"/>
      </w:pPr>
    </w:p>
    <w:p>
      <w:pPr>
        <w:pStyle w:val="Body"/>
      </w:pPr>
      <w:r>
        <w:rPr>
          <w:rtl w:val="0"/>
        </w:rPr>
        <w:t xml:space="preserve">Web-based consultation </w:t>
      </w:r>
      <w:r>
        <w:rPr>
          <w:rtl w:val="0"/>
          <w:lang w:val="en-US"/>
        </w:rPr>
        <w:t>received 375 hits through 271 individual devices with an average spend time of over 6 minutes.</w:t>
      </w:r>
    </w:p>
    <w:p>
      <w:pPr>
        <w:pStyle w:val="Body"/>
      </w:pPr>
    </w:p>
    <w:p>
      <w:pPr>
        <w:pStyle w:val="Heading 3"/>
      </w:pPr>
      <w:r>
        <w:rPr>
          <w:rtl w:val="0"/>
        </w:rPr>
        <w:t xml:space="preserve">Tertiary Consultation </w:t>
      </w:r>
    </w:p>
    <w:p>
      <w:pPr>
        <w:pStyle w:val="Body"/>
      </w:pPr>
      <w:r>
        <w:rPr>
          <w:rtl w:val="0"/>
          <w:lang w:val="en-US"/>
        </w:rPr>
        <w:t xml:space="preserve">August 2025 - SYCC Open day at SYCC for public feedback on current projects and Local Place Plan. (Attendee numbers not recorded)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jc w:val="left"/>
        <w:rPr>
          <w:rFonts w:ascii="Times Roman" w:cs="Times Roman" w:hAnsi="Times Roman" w:eastAsia="Times Roma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jc w:val="left"/>
        <w:rPr>
          <w:rFonts w:ascii="Times Roman" w:cs="Times Roman" w:hAnsi="Times Roman" w:eastAsia="Times Roman"/>
          <w14:textOutline>
            <w14:noFill/>
          </w14:textOutline>
        </w:rPr>
      </w:pPr>
    </w:p>
    <w:p>
      <w:pPr>
        <w:pStyle w:val="List Paragraph"/>
        <w:spacing w:after="80"/>
      </w:pPr>
      <w:r>
        <w:rPr>
          <w:rFonts w:ascii="Arial Unicode MS" w:cs="Arial Unicode MS" w:hAnsi="Arial Unicode MS" w:eastAsia="Arial Unicode MS"/>
          <w:b w:val="0"/>
          <w:bCs w:val="0"/>
          <w:i w:val="0"/>
          <w:iCs w:val="0"/>
        </w:rPr>
        <w:br w:type="page"/>
      </w:r>
    </w:p>
    <w:p>
      <w:pPr>
        <w:pStyle w:val="Heading"/>
      </w:pPr>
      <w:r>
        <w:rPr>
          <w:rtl w:val="0"/>
        </w:rPr>
        <w:t>13. Voluntary Statement in Relation to Statutory Impact Assessments</w:t>
      </w:r>
    </w:p>
    <w:p>
      <w:pPr>
        <w:pStyle w:val="Body"/>
      </w:pPr>
      <w:r>
        <w:rPr>
          <w:outline w:val="0"/>
          <w:color w:val="000000"/>
          <w:sz w:val="22"/>
          <w:szCs w:val="22"/>
          <w:u w:color="000000"/>
          <w:rtl w:val="0"/>
          <w:lang w:val="en-US"/>
          <w14:textFill>
            <w14:solidFill>
              <w14:srgbClr w14:val="000000"/>
            </w14:solidFill>
          </w14:textFill>
        </w:rPr>
        <w:t>The Scalloway Local Place Plan has voluntarily considered the following statutory impact assessment frameworks in the development of its proposals:</w:t>
      </w:r>
    </w:p>
    <w:p>
      <w:pPr>
        <w:pStyle w:val="Body"/>
      </w:pPr>
    </w:p>
    <w:p>
      <w:pPr>
        <w:pStyle w:val="Body"/>
        <w:rPr>
          <w:b w:val="1"/>
          <w:bCs w:val="1"/>
        </w:rPr>
      </w:pPr>
      <w:r>
        <w:rPr>
          <w:b w:val="1"/>
          <w:bCs w:val="1"/>
          <w:sz w:val="22"/>
          <w:szCs w:val="22"/>
          <w:rtl w:val="0"/>
          <w:lang w:val="en-US"/>
        </w:rPr>
        <w:t>Equalities Impact Assessment (EQIA)</w:t>
      </w:r>
    </w:p>
    <w:p>
      <w:pPr>
        <w:pStyle w:val="Body"/>
      </w:pPr>
      <w:r>
        <w:rPr>
          <w:rtl w:val="0"/>
        </w:rPr>
        <w:t>Proposals have been developed with inclusive design and access in mind, ensuring that improvements to public spaces, walkways and facilities are accessible to all members of the community regardless of age, disability or other protected characteristics.</w:t>
      </w:r>
    </w:p>
    <w:p>
      <w:pPr>
        <w:pStyle w:val="Body"/>
      </w:pPr>
    </w:p>
    <w:p>
      <w:pPr>
        <w:pStyle w:val="Body"/>
        <w:rPr>
          <w:b w:val="1"/>
          <w:bCs w:val="1"/>
        </w:rPr>
      </w:pPr>
      <w:r>
        <w:rPr>
          <w:b w:val="1"/>
          <w:bCs w:val="1"/>
          <w:sz w:val="22"/>
          <w:szCs w:val="22"/>
          <w:rtl w:val="0"/>
          <w:lang w:val="en-US"/>
        </w:rPr>
        <w:t>Child Rights and Wellbeing Impact Assessment (CRWIA)</w:t>
      </w:r>
    </w:p>
    <w:p>
      <w:pPr>
        <w:pStyle w:val="Body"/>
      </w:pPr>
      <w:r>
        <w:rPr>
          <w:outline w:val="0"/>
          <w:color w:val="000000"/>
          <w:sz w:val="22"/>
          <w:szCs w:val="22"/>
          <w:u w:color="000000"/>
          <w:rtl w:val="0"/>
          <w:lang w:val="en-US"/>
          <w14:textFill>
            <w14:solidFill>
              <w14:srgbClr w14:val="000000"/>
            </w14:solidFill>
          </w14:textFill>
        </w:rPr>
        <w:t>Youth involvement has been central to the process. Proposals for Fraser Park, improved walkways and safe school crossings directly address the needs of children and young people, who were actively engaged in shaping the plan through dedicated workshop sessions.</w:t>
      </w:r>
    </w:p>
    <w:p>
      <w:pPr>
        <w:pStyle w:val="Body"/>
      </w:pPr>
    </w:p>
    <w:p>
      <w:pPr>
        <w:pStyle w:val="Body"/>
        <w:rPr>
          <w:b w:val="1"/>
          <w:bCs w:val="1"/>
        </w:rPr>
      </w:pPr>
      <w:r>
        <w:rPr>
          <w:b w:val="1"/>
          <w:bCs w:val="1"/>
          <w:sz w:val="22"/>
          <w:szCs w:val="22"/>
          <w:rtl w:val="0"/>
          <w:lang w:val="de-DE"/>
        </w:rPr>
        <w:t>Fairer Scotland Duty (FSD)</w:t>
      </w:r>
    </w:p>
    <w:p>
      <w:pPr>
        <w:pStyle w:val="Body"/>
      </w:pPr>
      <w:r>
        <w:rPr>
          <w:outline w:val="0"/>
          <w:color w:val="000000"/>
          <w:sz w:val="22"/>
          <w:szCs w:val="22"/>
          <w:u w:color="000000"/>
          <w:rtl w:val="0"/>
          <w:lang w:val="en-US"/>
          <w14:textFill>
            <w14:solidFill>
              <w14:srgbClr w14:val="000000"/>
            </w14:solidFill>
          </w14:textFill>
        </w:rPr>
        <w:t>The plan addresses inequalities in transport access and housing provision, promoting affordable housing options and improved connectivity for all residents.</w:t>
      </w:r>
    </w:p>
    <w:p>
      <w:pPr>
        <w:pStyle w:val="Body"/>
      </w:pPr>
    </w:p>
    <w:p>
      <w:pPr>
        <w:pStyle w:val="Body"/>
        <w:rPr>
          <w:b w:val="1"/>
          <w:bCs w:val="1"/>
        </w:rPr>
      </w:pPr>
      <w:r>
        <w:rPr>
          <w:b w:val="1"/>
          <w:bCs w:val="1"/>
          <w:sz w:val="22"/>
          <w:szCs w:val="22"/>
          <w:rtl w:val="0"/>
          <w:lang w:val="en-US"/>
        </w:rPr>
        <w:t>Island Communities Impact Assessment (ICIA)</w:t>
      </w:r>
    </w:p>
    <w:p>
      <w:pPr>
        <w:pStyle w:val="Body"/>
      </w:pPr>
      <w:r>
        <w:rPr>
          <w:outline w:val="0"/>
          <w:color w:val="000000"/>
          <w:sz w:val="22"/>
          <w:szCs w:val="22"/>
          <w:u w:color="000000"/>
          <w:rtl w:val="0"/>
          <w:lang w:val="en-US"/>
          <w14:textFill>
            <w14:solidFill>
              <w14:srgbClr w14:val="000000"/>
            </w14:solidFill>
          </w14:textFill>
        </w:rPr>
        <w:t>All proposals have been developed with recognition of the distinctive challenges facing island and rural communities, including geographic isolation, limited public transport, and the need to sustain local services and economic activity.</w:t>
      </w:r>
    </w:p>
    <w:p>
      <w:pPr>
        <w:pStyle w:val="Heading"/>
      </w:pPr>
      <w:r>
        <w:rPr>
          <w:rFonts w:ascii="Arial Unicode MS" w:cs="Arial Unicode MS" w:hAnsi="Arial Unicode MS" w:eastAsia="Arial Unicode MS"/>
          <w:b w:val="0"/>
          <w:bCs w:val="0"/>
          <w:i w:val="0"/>
          <w:iCs w:val="0"/>
          <w:outline w:val="0"/>
          <w:color w:val="000000"/>
          <w:u w:color="000000"/>
          <w14:textFill>
            <w14:solidFill>
              <w14:srgbClr w14:val="000000"/>
            </w14:solidFill>
          </w14:textFill>
        </w:rPr>
        <w:br w:type="page"/>
      </w:r>
    </w:p>
    <w:p>
      <w:pPr>
        <w:pStyle w:val="Heading"/>
      </w:pPr>
      <w:r>
        <w:rPr>
          <w:rtl w:val="0"/>
        </w:rPr>
        <w:t>14. Further Consideration Regarding Strategic Environmental Assessments</w:t>
      </w:r>
    </w:p>
    <w:p>
      <w:pPr>
        <w:pStyle w:val="Body"/>
        <w:rPr>
          <w:b w:val="1"/>
          <w:bCs w:val="1"/>
        </w:rPr>
      </w:pPr>
      <w:r>
        <w:rPr>
          <w:b w:val="1"/>
          <w:bCs w:val="1"/>
          <w:sz w:val="22"/>
          <w:szCs w:val="22"/>
          <w:rtl w:val="0"/>
          <w:lang w:val="en-US"/>
        </w:rPr>
        <w:t>All proposals have been reviewed against the key Strategic Environmental Assessment topics. The following summarises the considerations for this Local Place Plan:</w:t>
      </w:r>
    </w:p>
    <w:p>
      <w:pPr>
        <w:pStyle w:val="List Paragraph"/>
        <w:numPr>
          <w:ilvl w:val="0"/>
          <w:numId w:val="2"/>
        </w:numPr>
      </w:pPr>
      <w:r>
        <w:rPr>
          <w:rFonts w:cs="Arial Unicode MS" w:eastAsia="Arial Unicode MS"/>
          <w:rtl w:val="0"/>
          <w:lang w:val="it-IT"/>
        </w:rPr>
        <w:t xml:space="preserve">Biodiversity </w:t>
      </w:r>
      <w:r>
        <w:rPr>
          <w:rFonts w:cs="Arial Unicode MS" w:eastAsia="Arial Unicode MS" w:hint="default"/>
          <w:rtl w:val="0"/>
        </w:rPr>
        <w:t xml:space="preserve">– </w:t>
      </w:r>
      <w:r>
        <w:rPr>
          <w:rFonts w:cs="Arial Unicode MS" w:eastAsia="Arial Unicode MS"/>
          <w:rtl w:val="0"/>
          <w:lang w:val="en-US"/>
        </w:rPr>
        <w:t>The nature garden proposal and waterfront improvements incorporate biodiversity enhancement measures.</w:t>
      </w:r>
    </w:p>
    <w:p>
      <w:pPr>
        <w:pStyle w:val="List Paragraph"/>
        <w:numPr>
          <w:ilvl w:val="0"/>
          <w:numId w:val="2"/>
        </w:numPr>
      </w:pPr>
      <w:r>
        <w:rPr>
          <w:rFonts w:cs="Arial Unicode MS" w:eastAsia="Arial Unicode MS"/>
          <w:rtl w:val="0"/>
          <w:lang w:val="en-US"/>
        </w:rPr>
        <w:t xml:space="preserve">Climate </w:t>
      </w:r>
      <w:r>
        <w:rPr>
          <w:rFonts w:cs="Arial Unicode MS" w:eastAsia="Arial Unicode MS" w:hint="default"/>
          <w:rtl w:val="0"/>
        </w:rPr>
        <w:t xml:space="preserve">– </w:t>
      </w:r>
      <w:r>
        <w:rPr>
          <w:rFonts w:cs="Arial Unicode MS" w:eastAsia="Arial Unicode MS"/>
          <w:rtl w:val="0"/>
          <w:lang w:val="en-US"/>
        </w:rPr>
        <w:t>Flood mitigation is embedded in waterfront walkway proposals; energy-efficient housing development is promoted.</w:t>
      </w:r>
    </w:p>
    <w:p>
      <w:pPr>
        <w:pStyle w:val="List Paragraph"/>
        <w:numPr>
          <w:ilvl w:val="0"/>
          <w:numId w:val="2"/>
        </w:numPr>
      </w:pPr>
      <w:r>
        <w:rPr>
          <w:rFonts w:cs="Arial Unicode MS" w:eastAsia="Arial Unicode MS"/>
          <w:rtl w:val="0"/>
          <w:lang w:val="fr-FR"/>
        </w:rPr>
        <w:t xml:space="preserve">Soil </w:t>
      </w:r>
      <w:r>
        <w:rPr>
          <w:rFonts w:cs="Arial Unicode MS" w:eastAsia="Arial Unicode MS" w:hint="default"/>
          <w:rtl w:val="0"/>
        </w:rPr>
        <w:t xml:space="preserve">– </w:t>
      </w:r>
      <w:r>
        <w:rPr>
          <w:rFonts w:cs="Arial Unicode MS" w:eastAsia="Arial Unicode MS"/>
          <w:rtl w:val="0"/>
          <w:lang w:val="en-US"/>
        </w:rPr>
        <w:t>Coastal reclamation proposals will require geotechnical assessment and appropriate mitigation.</w:t>
      </w:r>
    </w:p>
    <w:p>
      <w:pPr>
        <w:pStyle w:val="List Paragraph"/>
        <w:numPr>
          <w:ilvl w:val="0"/>
          <w:numId w:val="2"/>
        </w:numPr>
      </w:pPr>
      <w:r>
        <w:rPr>
          <w:rFonts w:cs="Arial Unicode MS" w:eastAsia="Arial Unicode MS"/>
          <w:rtl w:val="0"/>
          <w:lang w:val="en-US"/>
        </w:rPr>
        <w:t xml:space="preserve">Water </w:t>
      </w:r>
      <w:r>
        <w:rPr>
          <w:rFonts w:cs="Arial Unicode MS" w:eastAsia="Arial Unicode MS" w:hint="default"/>
          <w:rtl w:val="0"/>
        </w:rPr>
        <w:t xml:space="preserve">– </w:t>
      </w:r>
      <w:r>
        <w:rPr>
          <w:rFonts w:cs="Arial Unicode MS" w:eastAsia="Arial Unicode MS"/>
          <w:rtl w:val="0"/>
          <w:lang w:val="en-US"/>
        </w:rPr>
        <w:t>Burn Beach expansion and waterfront works include consultation with SEPA on flood risk and water quality.</w:t>
      </w:r>
    </w:p>
    <w:p>
      <w:pPr>
        <w:pStyle w:val="List Paragraph"/>
        <w:numPr>
          <w:ilvl w:val="0"/>
          <w:numId w:val="2"/>
        </w:numPr>
      </w:pPr>
      <w:r>
        <w:rPr>
          <w:rFonts w:cs="Arial Unicode MS" w:eastAsia="Arial Unicode MS"/>
          <w:rtl w:val="0"/>
        </w:rPr>
        <w:t xml:space="preserve">Air </w:t>
      </w:r>
      <w:r>
        <w:rPr>
          <w:rFonts w:cs="Arial Unicode MS" w:eastAsia="Arial Unicode MS" w:hint="default"/>
          <w:rtl w:val="0"/>
        </w:rPr>
        <w:t xml:space="preserve">– </w:t>
      </w:r>
      <w:r>
        <w:rPr>
          <w:rFonts w:cs="Arial Unicode MS" w:eastAsia="Arial Unicode MS"/>
          <w:rtl w:val="0"/>
          <w:lang w:val="en-US"/>
        </w:rPr>
        <w:t>Main Street reconfiguration aims to reduce congestion and associated emissions.</w:t>
      </w:r>
    </w:p>
    <w:p>
      <w:pPr>
        <w:pStyle w:val="List Paragraph"/>
        <w:numPr>
          <w:ilvl w:val="0"/>
          <w:numId w:val="2"/>
        </w:numPr>
      </w:pPr>
      <w:r>
        <w:rPr>
          <w:rFonts w:cs="Arial Unicode MS" w:eastAsia="Arial Unicode MS"/>
          <w:rtl w:val="0"/>
          <w:lang w:val="en-US"/>
        </w:rPr>
        <w:t xml:space="preserve">Landscape </w:t>
      </w:r>
      <w:r>
        <w:rPr>
          <w:rFonts w:cs="Arial Unicode MS" w:eastAsia="Arial Unicode MS" w:hint="default"/>
          <w:rtl w:val="0"/>
        </w:rPr>
        <w:t xml:space="preserve">– </w:t>
      </w:r>
      <w:r>
        <w:rPr>
          <w:rFonts w:cs="Arial Unicode MS" w:eastAsia="Arial Unicode MS"/>
          <w:rtl w:val="0"/>
          <w:lang w:val="en-US"/>
        </w:rPr>
        <w:t>All proposals in the National Scenic Area will be assessed for landscape and visual impact.</w:t>
      </w:r>
    </w:p>
    <w:p>
      <w:pPr>
        <w:pStyle w:val="List Paragraph"/>
        <w:numPr>
          <w:ilvl w:val="0"/>
          <w:numId w:val="2"/>
        </w:numPr>
      </w:pPr>
      <w:r>
        <w:rPr>
          <w:rFonts w:cs="Arial Unicode MS" w:eastAsia="Arial Unicode MS"/>
          <w:rtl w:val="0"/>
          <w:lang w:val="it-IT"/>
        </w:rPr>
        <w:t xml:space="preserve">Cultural Heritage </w:t>
      </w:r>
      <w:r>
        <w:rPr>
          <w:rFonts w:cs="Arial Unicode MS" w:eastAsia="Arial Unicode MS" w:hint="default"/>
          <w:rtl w:val="0"/>
        </w:rPr>
        <w:t xml:space="preserve">– </w:t>
      </w:r>
      <w:r>
        <w:rPr>
          <w:rFonts w:cs="Arial Unicode MS" w:eastAsia="Arial Unicode MS"/>
          <w:rtl w:val="0"/>
          <w:lang w:val="en-US"/>
        </w:rPr>
        <w:t>Reuse of historic buildings and development within the Conservation Area will be assessed against heritage policies, with input from Historic Environment Scotland where required.</w:t>
      </w:r>
    </w:p>
    <w:p>
      <w:pPr>
        <w:pStyle w:val="List Paragraph"/>
        <w:spacing w:after="80"/>
      </w:pPr>
      <w:r>
        <w:rPr>
          <w:rFonts w:ascii="Arial Unicode MS" w:cs="Arial Unicode MS" w:hAnsi="Arial Unicode MS" w:eastAsia="Arial Unicode MS"/>
          <w:b w:val="0"/>
          <w:bCs w:val="0"/>
          <w:i w:val="0"/>
          <w:iCs w:val="0"/>
        </w:rPr>
        <w:br w:type="page"/>
      </w:r>
    </w:p>
    <w:p>
      <w:pPr>
        <w:pStyle w:val="Heading"/>
      </w:pPr>
      <w:r>
        <w:rPr>
          <w:rtl w:val="0"/>
        </w:rPr>
        <w:t>15. Bringing the Local Place Plan Together</w:t>
      </w:r>
    </w:p>
    <w:p>
      <w:pPr>
        <w:pStyle w:val="Body"/>
        <w:rPr>
          <w:outline w:val="0"/>
          <w:color w:val="000000"/>
          <w:sz w:val="22"/>
          <w:szCs w:val="22"/>
          <w:u w:color="000000"/>
          <w14:textFill>
            <w14:solidFill>
              <w14:srgbClr w14:val="000000"/>
            </w14:solidFill>
          </w14:textFill>
        </w:rPr>
      </w:pPr>
      <w:r>
        <w:rPr>
          <w:outline w:val="0"/>
          <w:color w:val="000000"/>
          <w:sz w:val="22"/>
          <w:szCs w:val="22"/>
          <w:u w:color="000000"/>
          <w:rtl w:val="0"/>
          <w:lang w:val="en-US"/>
          <w14:textFill>
            <w14:solidFill>
              <w14:srgbClr w14:val="000000"/>
            </w14:solidFill>
          </w14:textFill>
        </w:rPr>
        <w:t>Scalloway</w:t>
      </w:r>
      <w:r>
        <w:rPr>
          <w:rFonts w:ascii="Arial Unicode MS" w:hAnsi="Arial Unicode MS" w:hint="default"/>
          <w:outline w:val="0"/>
          <w:color w:val="000000"/>
          <w:sz w:val="22"/>
          <w:szCs w:val="22"/>
          <w:u w:color="000000"/>
          <w:rtl w:val="1"/>
          <w14:textFill>
            <w14:solidFill>
              <w14:srgbClr w14:val="000000"/>
            </w14:solidFill>
          </w14:textFill>
        </w:rPr>
        <w:t>’</w:t>
      </w:r>
      <w:r>
        <w:rPr>
          <w:outline w:val="0"/>
          <w:color w:val="000000"/>
          <w:sz w:val="22"/>
          <w:szCs w:val="22"/>
          <w:u w:color="000000"/>
          <w:rtl w:val="0"/>
          <w:lang w:val="en-US"/>
          <w14:textFill>
            <w14:solidFill>
              <w14:srgbClr w14:val="000000"/>
            </w14:solidFill>
          </w14:textFill>
        </w:rPr>
        <w:t xml:space="preserve">s active community are keen to see their village develop in a sustainable way for the benefit of current and future residents. To enable this to happen we need to ensure that all stakeholders </w:t>
      </w:r>
      <w:r>
        <w:rPr>
          <w:outline w:val="0"/>
          <w:color w:val="000000"/>
          <w:sz w:val="22"/>
          <w:szCs w:val="22"/>
          <w:u w:color="000000"/>
          <w:rtl w:val="0"/>
          <w14:textFill>
            <w14:solidFill>
              <w14:srgbClr w14:val="000000"/>
            </w14:solidFill>
          </w14:textFill>
        </w:rPr>
        <w:t xml:space="preserve">– </w:t>
      </w:r>
      <w:r>
        <w:rPr>
          <w:outline w:val="0"/>
          <w:color w:val="000000"/>
          <w:sz w:val="22"/>
          <w:szCs w:val="22"/>
          <w:u w:color="000000"/>
          <w:rtl w:val="0"/>
          <w:lang w:val="en-US"/>
          <w14:textFill>
            <w14:solidFill>
              <w14:srgbClr w14:val="000000"/>
            </w14:solidFill>
          </w14:textFill>
        </w:rPr>
        <w:t xml:space="preserve">including the planning and community planning &amp; development services of the Council </w:t>
      </w:r>
      <w:r>
        <w:rPr>
          <w:outline w:val="0"/>
          <w:color w:val="000000"/>
          <w:sz w:val="22"/>
          <w:szCs w:val="22"/>
          <w:u w:color="000000"/>
          <w:rtl w:val="0"/>
          <w14:textFill>
            <w14:solidFill>
              <w14:srgbClr w14:val="000000"/>
            </w14:solidFill>
          </w14:textFill>
        </w:rPr>
        <w:t xml:space="preserve">– </w:t>
      </w:r>
      <w:r>
        <w:rPr>
          <w:outline w:val="0"/>
          <w:color w:val="000000"/>
          <w:sz w:val="22"/>
          <w:szCs w:val="22"/>
          <w:u w:color="000000"/>
          <w:rtl w:val="0"/>
          <w:lang w:val="en-US"/>
          <w14:textFill>
            <w14:solidFill>
              <w14:srgbClr w14:val="000000"/>
            </w14:solidFill>
          </w14:textFill>
        </w:rPr>
        <w:t>are committed to working together to achieve our goals.</w:t>
      </w:r>
    </w:p>
    <w:p>
      <w:pPr>
        <w:pStyle w:val="Heading"/>
      </w:pPr>
      <w:r>
        <w:rPr>
          <w:outline w:val="0"/>
          <w:color w:val="000000"/>
          <w:sz w:val="22"/>
          <w:szCs w:val="22"/>
          <w:u w:color="000000"/>
          <w14:textFill>
            <w14:solidFill>
              <w14:srgbClr w14:val="000000"/>
            </w14:solidFill>
          </w14:textFill>
        </w:rPr>
        <w:drawing xmlns:a="http://schemas.openxmlformats.org/drawingml/2006/main">
          <wp:inline distT="0" distB="0" distL="0" distR="0">
            <wp:extent cx="5967915" cy="1165745"/>
            <wp:effectExtent l="0" t="0" r="0" b="0"/>
            <wp:docPr id="1073741857" name="officeArt object" descr="page21image20409280.png"/>
            <wp:cNvGraphicFramePr/>
            <a:graphic xmlns:a="http://schemas.openxmlformats.org/drawingml/2006/main">
              <a:graphicData uri="http://schemas.openxmlformats.org/drawingml/2006/picture">
                <pic:pic xmlns:pic="http://schemas.openxmlformats.org/drawingml/2006/picture">
                  <pic:nvPicPr>
                    <pic:cNvPr id="1073741857" name="page21image20409280.png" descr="page21image20409280.png"/>
                    <pic:cNvPicPr>
                      <a:picLocks noChangeAspect="1"/>
                    </pic:cNvPicPr>
                  </pic:nvPicPr>
                  <pic:blipFill>
                    <a:blip r:embed="rId26">
                      <a:extLst/>
                    </a:blip>
                    <a:stretch>
                      <a:fillRect/>
                    </a:stretch>
                  </pic:blipFill>
                  <pic:spPr>
                    <a:xfrm>
                      <a:off x="0" y="0"/>
                      <a:ext cx="5967915" cy="1165745"/>
                    </a:xfrm>
                    <a:prstGeom prst="rect">
                      <a:avLst/>
                    </a:prstGeom>
                    <a:ln w="12700" cap="flat">
                      <a:noFill/>
                      <a:miter lim="400000"/>
                    </a:ln>
                    <a:effectLst/>
                  </pic:spPr>
                </pic:pic>
              </a:graphicData>
            </a:graphic>
          </wp:inline>
        </w:drawing>
      </w:r>
    </w:p>
    <w:p>
      <w:pPr>
        <w:pStyle w:val="Heading 2"/>
      </w:pPr>
      <w:r>
        <w:rPr>
          <w:rtl w:val="0"/>
        </w:rPr>
        <w:t>1. The Shetland Local Development Plan (LDP2)</w:t>
      </w:r>
    </w:p>
    <w:p>
      <w:pPr>
        <w:pStyle w:val="Body"/>
      </w:pPr>
      <w:r>
        <w:rPr>
          <w:outline w:val="0"/>
          <w:color w:val="000000"/>
          <w:sz w:val="22"/>
          <w:szCs w:val="22"/>
          <w:u w:color="000000"/>
          <w:rtl w:val="0"/>
          <w:lang w:val="en-US"/>
          <w14:textFill>
            <w14:solidFill>
              <w14:srgbClr w14:val="000000"/>
            </w14:solidFill>
          </w14:textFill>
        </w:rPr>
        <w:t>The Scalloway Local Place Plan will be used to inform the production of the Council</w:t>
      </w:r>
      <w:r>
        <w:rPr>
          <w:rFonts w:ascii="Arial Unicode MS" w:hAnsi="Arial Unicode MS" w:hint="default"/>
          <w:outline w:val="0"/>
          <w:color w:val="000000"/>
          <w:sz w:val="22"/>
          <w:szCs w:val="22"/>
          <w:u w:color="000000"/>
          <w:rtl w:val="0"/>
          <w:lang w:val="fr-FR"/>
          <w14:textFill>
            <w14:solidFill>
              <w14:srgbClr w14:val="000000"/>
            </w14:solidFill>
          </w14:textFill>
        </w:rPr>
        <w:t>’</w:t>
      </w:r>
      <w:r>
        <w:rPr>
          <w:outline w:val="0"/>
          <w:color w:val="000000"/>
          <w:sz w:val="22"/>
          <w:szCs w:val="22"/>
          <w:u w:color="000000"/>
          <w:rtl w:val="0"/>
          <w:lang w:val="en-US"/>
          <w14:textFill>
            <w14:solidFill>
              <w14:srgbClr w14:val="000000"/>
            </w14:solidFill>
          </w14:textFill>
        </w:rPr>
        <w:t>s next Local Development Plan (LDP2). LDP2 will identify future areas for development and include policies used to consider planning applications. In preparing this plan we have taken account of the current Local Development Plan (2014), National Planning Framework 4, and the Shetland Partnership Plan. In particular, we wish to ensure that Scalloway:</w:t>
      </w:r>
    </w:p>
    <w:p>
      <w:pPr>
        <w:pStyle w:val="List Paragraph"/>
        <w:numPr>
          <w:ilvl w:val="0"/>
          <w:numId w:val="2"/>
        </w:numPr>
      </w:pPr>
      <w:r>
        <w:rPr>
          <w:rFonts w:cs="Arial Unicode MS" w:eastAsia="Arial Unicode MS"/>
          <w:rtl w:val="0"/>
          <w:lang w:val="en-US"/>
        </w:rPr>
        <w:t>Makes the best use of its assets to build a sustainable future, creating high quality, diverse and sustainable places that promote well-being and attract investment.</w:t>
      </w:r>
    </w:p>
    <w:p>
      <w:pPr>
        <w:pStyle w:val="List Paragraph"/>
        <w:numPr>
          <w:ilvl w:val="0"/>
          <w:numId w:val="2"/>
        </w:numPr>
      </w:pPr>
      <w:r>
        <w:rPr>
          <w:rFonts w:cs="Arial Unicode MS" w:eastAsia="Arial Unicode MS"/>
          <w:rtl w:val="0"/>
          <w:lang w:val="en-US"/>
        </w:rPr>
        <w:t>Encourages sustainable economic development to create strong, healthy, vibrant communities where diversity is recognised and celebrated.</w:t>
      </w:r>
    </w:p>
    <w:p>
      <w:pPr>
        <w:pStyle w:val="List Paragraph"/>
        <w:numPr>
          <w:ilvl w:val="0"/>
          <w:numId w:val="2"/>
        </w:numPr>
      </w:pPr>
      <w:r>
        <w:rPr>
          <w:rFonts w:cs="Arial Unicode MS" w:eastAsia="Arial Unicode MS"/>
          <w:rtl w:val="0"/>
          <w:lang w:val="en-US"/>
        </w:rPr>
        <w:t>Conserves and promotes its historic environment, culture and quality of life.</w:t>
      </w:r>
    </w:p>
    <w:p>
      <w:pPr>
        <w:pStyle w:val="List Paragraph"/>
        <w:numPr>
          <w:ilvl w:val="0"/>
          <w:numId w:val="2"/>
        </w:numPr>
      </w:pPr>
      <w:r>
        <w:rPr>
          <w:rFonts w:cs="Arial Unicode MS" w:eastAsia="Arial Unicode MS"/>
          <w:rtl w:val="0"/>
          <w:lang w:val="en-US"/>
        </w:rPr>
        <w:t>Encourages new development that is environmentally sensitive and accessible to all.</w:t>
      </w:r>
    </w:p>
    <w:p>
      <w:pPr>
        <w:pStyle w:val="List Paragraph"/>
        <w:numPr>
          <w:ilvl w:val="0"/>
          <w:numId w:val="2"/>
        </w:numPr>
      </w:pPr>
      <w:r>
        <w:rPr>
          <w:rFonts w:cs="Arial Unicode MS" w:eastAsia="Arial Unicode MS"/>
          <w:rtl w:val="0"/>
          <w:lang w:val="en-US"/>
        </w:rPr>
        <w:t>Supports better access, in particular active travel by foot, cycle and public transport.</w:t>
      </w:r>
    </w:p>
    <w:p>
      <w:pPr>
        <w:pStyle w:val="List Paragraph"/>
        <w:numPr>
          <w:ilvl w:val="0"/>
          <w:numId w:val="2"/>
        </w:numPr>
      </w:pPr>
      <w:r>
        <w:rPr>
          <w:rFonts w:cs="Arial Unicode MS" w:eastAsia="Arial Unicode MS"/>
          <w:rtl w:val="0"/>
          <w:lang w:val="en-US"/>
        </w:rPr>
        <w:t>Has measures in place to reduce carbon emissions and includes proposals to mitigate and protect against the effects of climate change, in particular sea level rise and coastal flooding.</w:t>
      </w:r>
    </w:p>
    <w:p>
      <w:pPr>
        <w:pStyle w:val="List Paragraph"/>
        <w:spacing w:after="80"/>
      </w:pPr>
    </w:p>
    <w:p>
      <w:pPr>
        <w:pStyle w:val="Heading 2"/>
      </w:pPr>
      <w:r>
        <w:rPr>
          <w:rtl w:val="0"/>
        </w:rPr>
        <w:t>2. The Shetland Partnership Plan (2018</w:t>
      </w:r>
      <w:r>
        <w:rPr>
          <w:rtl w:val="0"/>
        </w:rPr>
        <w:t>–</w:t>
      </w:r>
      <w:r>
        <w:rPr>
          <w:rtl w:val="0"/>
        </w:rPr>
        <w:t>2028)</w:t>
      </w:r>
      <w:r>
        <w:drawing xmlns:a="http://schemas.openxmlformats.org/drawingml/2006/main">
          <wp:anchor distT="0" distB="0" distL="0" distR="0" simplePos="0" relativeHeight="251664384" behindDoc="0" locked="0" layoutInCell="1" allowOverlap="1">
            <wp:simplePos x="0" y="0"/>
            <wp:positionH relativeFrom="page">
              <wp:posOffset>800100</wp:posOffset>
            </wp:positionH>
            <wp:positionV relativeFrom="line">
              <wp:posOffset>518159</wp:posOffset>
            </wp:positionV>
            <wp:extent cx="805861" cy="1171678"/>
            <wp:effectExtent l="0" t="0" r="0" b="0"/>
            <wp:wrapThrough wrapText="bothSides" distL="0" distR="0">
              <wp:wrapPolygon edited="1">
                <wp:start x="-1362" y="-937"/>
                <wp:lineTo x="-1362" y="0"/>
                <wp:lineTo x="-1362" y="21598"/>
                <wp:lineTo x="-1362" y="22535"/>
                <wp:lineTo x="0" y="22535"/>
                <wp:lineTo x="21605" y="22535"/>
                <wp:lineTo x="22967" y="22535"/>
                <wp:lineTo x="22967" y="21598"/>
                <wp:lineTo x="22967" y="0"/>
                <wp:lineTo x="22967" y="-937"/>
                <wp:lineTo x="21605" y="-937"/>
                <wp:lineTo x="0" y="-937"/>
                <wp:lineTo x="-1362" y="-937"/>
              </wp:wrapPolygon>
            </wp:wrapThrough>
            <wp:docPr id="1073741858" name="officeArt object" descr="page22image20258464.png"/>
            <wp:cNvGraphicFramePr/>
            <a:graphic xmlns:a="http://schemas.openxmlformats.org/drawingml/2006/main">
              <a:graphicData uri="http://schemas.openxmlformats.org/drawingml/2006/picture">
                <pic:pic xmlns:pic="http://schemas.openxmlformats.org/drawingml/2006/picture">
                  <pic:nvPicPr>
                    <pic:cNvPr id="1073741858" name="page22image20258464.png" descr="page22image20258464.png"/>
                    <pic:cNvPicPr>
                      <a:picLocks noChangeAspect="1"/>
                    </pic:cNvPicPr>
                  </pic:nvPicPr>
                  <pic:blipFill>
                    <a:blip r:embed="rId27">
                      <a:extLst/>
                    </a:blip>
                    <a:stretch>
                      <a:fillRect/>
                    </a:stretch>
                  </pic:blipFill>
                  <pic:spPr>
                    <a:xfrm>
                      <a:off x="0" y="0"/>
                      <a:ext cx="805861" cy="1171678"/>
                    </a:xfrm>
                    <a:prstGeom prst="rect">
                      <a:avLst/>
                    </a:prstGeom>
                    <a:ln w="101600" cap="flat">
                      <a:solidFill>
                        <a:srgbClr val="FFFFFF"/>
                      </a:solidFill>
                      <a:prstDash val="solid"/>
                      <a:miter lim="400000"/>
                    </a:ln>
                    <a:effectLst/>
                  </pic:spPr>
                </pic:pic>
              </a:graphicData>
            </a:graphic>
          </wp:anchor>
        </w:drawing>
      </w:r>
    </w:p>
    <w:p>
      <w:pPr>
        <w:pStyle w:val="Body"/>
        <w:rPr>
          <w:outline w:val="0"/>
          <w:color w:val="000000"/>
          <w:sz w:val="22"/>
          <w:szCs w:val="22"/>
          <w:u w:color="000000"/>
          <w14:textFill>
            <w14:solidFill>
              <w14:srgbClr w14:val="000000"/>
            </w14:solidFill>
          </w14:textFill>
        </w:rPr>
      </w:pPr>
      <w:r>
        <w:rPr>
          <w:outline w:val="0"/>
          <w:color w:val="000000"/>
          <w:sz w:val="22"/>
          <w:szCs w:val="22"/>
          <w:u w:color="000000"/>
          <w:rtl w:val="0"/>
          <w:lang w:val="en-US"/>
          <w14:textFill>
            <w14:solidFill>
              <w14:srgbClr w14:val="000000"/>
            </w14:solidFill>
          </w14:textFill>
        </w:rPr>
        <w:t>The Shetland Partnership Plan is a plan for all communities and community planning partners in Shetland. It identifies a shared vision and priorities for all of us to work towards, both individually and collectively, to improve the lives of everyone in Shetland. The Plan is based on four shared priorities: Participation, People, Place and Money. The Local Place Plan contributes to all four priorities and we have incorporated them into our vision for Scalloway.</w:t>
      </w:r>
    </w:p>
    <w:p>
      <w:pPr>
        <w:pStyle w:val="Heading 2"/>
      </w:pPr>
    </w:p>
    <w:p>
      <w:pPr>
        <w:pStyle w:val="Heading 2"/>
      </w:pPr>
      <w:r>
        <w:rPr>
          <w:outline w:val="0"/>
          <w:color w:val="000000"/>
          <w:u w:color="000000"/>
          <w14:textFill>
            <w14:solidFill>
              <w14:srgbClr w14:val="000000"/>
            </w14:solidFill>
          </w14:textFill>
        </w:rPr>
        <w:drawing xmlns:a="http://schemas.openxmlformats.org/drawingml/2006/main">
          <wp:inline distT="0" distB="0" distL="0" distR="0">
            <wp:extent cx="6070473" cy="4610411"/>
            <wp:effectExtent l="0" t="0" r="0" b="0"/>
            <wp:docPr id="1073741859" name="officeArt object" descr="page23image3619664.png"/>
            <wp:cNvGraphicFramePr/>
            <a:graphic xmlns:a="http://schemas.openxmlformats.org/drawingml/2006/main">
              <a:graphicData uri="http://schemas.openxmlformats.org/drawingml/2006/picture">
                <pic:pic xmlns:pic="http://schemas.openxmlformats.org/drawingml/2006/picture">
                  <pic:nvPicPr>
                    <pic:cNvPr id="1073741859" name="page23image3619664.png" descr="page23image3619664.png"/>
                    <pic:cNvPicPr>
                      <a:picLocks noChangeAspect="1"/>
                    </pic:cNvPicPr>
                  </pic:nvPicPr>
                  <pic:blipFill>
                    <a:blip r:embed="rId28">
                      <a:extLst/>
                    </a:blip>
                    <a:stretch>
                      <a:fillRect/>
                    </a:stretch>
                  </pic:blipFill>
                  <pic:spPr>
                    <a:xfrm>
                      <a:off x="0" y="0"/>
                      <a:ext cx="6070473" cy="4610411"/>
                    </a:xfrm>
                    <a:prstGeom prst="rect">
                      <a:avLst/>
                    </a:prstGeom>
                    <a:ln w="12700" cap="flat">
                      <a:noFill/>
                      <a:miter lim="400000"/>
                    </a:ln>
                    <a:effectLst/>
                  </pic:spPr>
                </pic:pic>
              </a:graphicData>
            </a:graphic>
          </wp:inline>
        </w:drawing>
      </w:r>
    </w:p>
    <w:p>
      <w:pPr>
        <w:pStyle w:val="Heading 2"/>
      </w:pPr>
      <w:r>
        <w:rPr>
          <w:rtl w:val="0"/>
        </w:rPr>
        <w:t>3. The Place Principle</w:t>
      </w:r>
    </w:p>
    <w:p>
      <w:pPr>
        <w:pStyle w:val="Body"/>
      </w:pPr>
      <w:r>
        <w:rPr>
          <w:rtl w:val="0"/>
        </w:rPr>
        <w:t xml:space="preserve">Community activity from </w:t>
      </w:r>
      <w:r>
        <w:rPr>
          <w:rtl w:val="0"/>
        </w:rPr>
        <w:t>Re-Create Scalloway</w:t>
      </w:r>
      <w:r>
        <w:rPr>
          <w:rtl w:val="0"/>
        </w:rPr>
        <w:t xml:space="preserve"> onwards</w:t>
      </w:r>
      <w:r>
        <w:rPr>
          <w:rtl w:val="0"/>
        </w:rPr>
        <w:t xml:space="preserve"> has focused on how Scalloway can be a better place </w:t>
      </w:r>
      <w:r>
        <w:rPr>
          <w:rtl w:val="0"/>
        </w:rPr>
        <w:t xml:space="preserve">– </w:t>
      </w:r>
      <w:r>
        <w:rPr>
          <w:rtl w:val="0"/>
        </w:rPr>
        <w:t>more welcoming, accessible, safer, active, connected and adventurous. We shall adopt the Scottish Government</w:t>
      </w:r>
      <w:r>
        <w:rPr>
          <w:rtl w:val="1"/>
        </w:rPr>
        <w:t>’</w:t>
      </w:r>
      <w:r>
        <w:rPr>
          <w:rtl w:val="0"/>
        </w:rPr>
        <w:t>s Place Principle in taking forward our Local Place Plan:</w:t>
      </w:r>
    </w:p>
    <w:p>
      <w:pPr>
        <w:pStyle w:val="Heading 2"/>
      </w:pPr>
    </w:p>
    <w:tbl>
      <w:tblPr>
        <w:tblW w:w="902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026"/>
      </w:tblGrid>
      <w:tr>
        <w:tblPrEx>
          <w:shd w:val="clear" w:color="auto" w:fill="ced7e7"/>
        </w:tblPrEx>
        <w:trPr>
          <w:trHeight w:val="2544" w:hRule="atLeast"/>
        </w:trPr>
        <w:tc>
          <w:tcPr>
            <w:tcW w:type="dxa" w:w="9026"/>
            <w:tcBorders>
              <w:top w:val="single" w:color="1f6b75" w:sz="2" w:space="0" w:shadow="0" w:frame="0"/>
              <w:left w:val="single" w:color="1f6b75" w:sz="2" w:space="0" w:shadow="0" w:frame="0"/>
              <w:bottom w:val="single" w:color="1f6b75" w:sz="2" w:space="0" w:shadow="0" w:frame="0"/>
              <w:right w:val="single" w:color="1f6b75" w:sz="2" w:space="0" w:shadow="0" w:frame="0"/>
            </w:tcBorders>
            <w:shd w:val="clear" w:color="auto" w:fill="d8eef0"/>
            <w:tcMar>
              <w:top w:type="dxa" w:w="80"/>
              <w:left w:type="dxa" w:w="80"/>
              <w:bottom w:type="dxa" w:w="80"/>
              <w:right w:type="dxa" w:w="80"/>
            </w:tcMar>
            <w:vAlign w:val="top"/>
          </w:tcPr>
          <w:p>
            <w:pPr>
              <w:pStyle w:val="Body"/>
            </w:pPr>
            <w:r>
              <w:rPr>
                <w:rFonts w:ascii="Arial" w:hAnsi="Arial"/>
                <w:rtl w:val="0"/>
                <w:lang w:val="en-US"/>
              </w:rPr>
              <w:t>Place is where people, location and resources combine to create a sense of identity and purpose, and is at the heart of addressing the needs and realising the full potential of our communities.</w:t>
            </w:r>
          </w:p>
          <w:p>
            <w:pPr>
              <w:pStyle w:val="Body"/>
              <w:rPr>
                <w:rFonts w:ascii="Times New Roman" w:cs="Times New Roman" w:hAnsi="Times New Roman" w:eastAsia="Times New Roman"/>
                <w:lang w:val="en-US"/>
              </w:rPr>
            </w:pPr>
          </w:p>
          <w:p>
            <w:pPr>
              <w:pStyle w:val="Body"/>
            </w:pPr>
            <w:r>
              <w:rPr>
                <w:rFonts w:ascii="Arial" w:hAnsi="Arial"/>
                <w:rtl w:val="0"/>
                <w:lang w:val="en-US"/>
              </w:rPr>
              <w:t>Places are shaped by the way resources, services and assets are directed and used by the people who live in and invest in them. A more joined-up, collaborative, and participative approach to services, land and buildings, across all sectors will enable better outcomes for everyone and increased opportunities for people and communities to shape their own lives.</w:t>
            </w:r>
          </w:p>
        </w:tc>
      </w:tr>
    </w:tbl>
    <w:p>
      <w:pPr>
        <w:pStyle w:val="Heading 2"/>
        <w:widowControl w:val="0"/>
        <w:ind w:left="108" w:hanging="108"/>
      </w:pPr>
    </w:p>
    <w:p>
      <w:pPr>
        <w:pStyle w:val="Heading 2"/>
        <w:widowControl w:val="0"/>
      </w:pPr>
    </w:p>
    <w:p>
      <w:pPr>
        <w:pStyle w:val="Heading 2"/>
        <w:widowControl w:val="0"/>
      </w:pPr>
      <w:r>
        <w:rPr>
          <w:rFonts w:ascii="Arial Unicode MS" w:cs="Arial Unicode MS" w:hAnsi="Arial Unicode MS" w:eastAsia="Arial Unicode MS"/>
          <w:b w:val="0"/>
          <w:bCs w:val="0"/>
          <w:i w:val="0"/>
          <w:iCs w:val="0"/>
          <w:outline w:val="0"/>
          <w:color w:val="000000"/>
          <w:u w:color="000000"/>
          <w14:textFill>
            <w14:solidFill>
              <w14:srgbClr w14:val="000000"/>
            </w14:solidFill>
          </w14:textFill>
        </w:rPr>
        <w:br w:type="page"/>
      </w:r>
    </w:p>
    <w:p>
      <w:pPr>
        <w:pStyle w:val="Heading"/>
      </w:pPr>
      <w:r>
        <w:rPr>
          <w:rtl w:val="0"/>
        </w:rPr>
        <w:t>16. Implementation and Delivery</w:t>
      </w:r>
    </w:p>
    <w:p>
      <w:pPr>
        <w:pStyle w:val="Body"/>
        <w:rPr>
          <w:b w:val="1"/>
          <w:bCs w:val="1"/>
        </w:rPr>
      </w:pPr>
      <w:r>
        <w:rPr>
          <w:b w:val="1"/>
          <w:bCs w:val="1"/>
          <w:sz w:val="22"/>
          <w:szCs w:val="22"/>
          <w:rtl w:val="0"/>
          <w:lang w:val="en-US"/>
        </w:rPr>
        <w:t>Scalloway Community Council recognises that we must take the following steps to make the Local Place Plan a success:</w:t>
      </w:r>
    </w:p>
    <w:p>
      <w:pPr>
        <w:pStyle w:val="Heading 3"/>
      </w:pPr>
      <w:r>
        <w:rPr>
          <w:rtl w:val="0"/>
        </w:rPr>
        <w:t>1. Working Together</w:t>
      </w:r>
    </w:p>
    <w:p>
      <w:pPr>
        <w:pStyle w:val="Body"/>
      </w:pPr>
      <w:r>
        <w:rPr>
          <w:outline w:val="0"/>
          <w:color w:val="000000"/>
          <w:sz w:val="22"/>
          <w:szCs w:val="22"/>
          <w:u w:color="000000"/>
          <w:rtl w:val="0"/>
          <w:lang w:val="en-US"/>
          <w14:textFill>
            <w14:solidFill>
              <w14:srgbClr w14:val="000000"/>
            </w14:solidFill>
          </w14:textFill>
        </w:rPr>
        <w:t>The Local Place Plan</w:t>
      </w:r>
      <w:r>
        <w:rPr>
          <w:outline w:val="0"/>
          <w:color w:val="000000"/>
          <w:sz w:val="22"/>
          <w:szCs w:val="22"/>
          <w:u w:color="000000"/>
          <w:rtl w:val="0"/>
          <w:lang w:val="en-US"/>
          <w14:textFill>
            <w14:solidFill>
              <w14:srgbClr w14:val="000000"/>
            </w14:solidFill>
          </w14:textFill>
        </w:rPr>
        <w:t xml:space="preserve"> v2</w:t>
      </w:r>
      <w:r>
        <w:rPr>
          <w:outline w:val="0"/>
          <w:color w:val="000000"/>
          <w:sz w:val="22"/>
          <w:szCs w:val="22"/>
          <w:u w:color="000000"/>
          <w:rtl w:val="0"/>
          <w:lang w:val="en-US"/>
          <w14:textFill>
            <w14:solidFill>
              <w14:srgbClr w14:val="000000"/>
            </w14:solidFill>
          </w14:textFill>
        </w:rPr>
        <w:t xml:space="preserve">, </w:t>
      </w:r>
      <w:r>
        <w:rPr>
          <w:outline w:val="0"/>
          <w:color w:val="000000"/>
          <w:sz w:val="22"/>
          <w:szCs w:val="22"/>
          <w:u w:color="000000"/>
          <w:rtl w:val="0"/>
          <w:lang w:val="en-US"/>
          <w14:textFill>
            <w14:solidFill>
              <w14:srgbClr w14:val="000000"/>
            </w14:solidFill>
          </w14:textFill>
        </w:rPr>
        <w:t xml:space="preserve">ReCreate Scalloway </w:t>
      </w:r>
      <w:r>
        <w:rPr>
          <w:outline w:val="0"/>
          <w:color w:val="000000"/>
          <w:sz w:val="22"/>
          <w:szCs w:val="22"/>
          <w:u w:color="000000"/>
          <w:rtl w:val="0"/>
          <w:lang w:val="en-US"/>
          <w14:textFill>
            <w14:solidFill>
              <w14:srgbClr w14:val="000000"/>
            </w14:solidFill>
          </w14:textFill>
        </w:rPr>
        <w:t>Spatial Vision and Action Plan</w:t>
      </w:r>
      <w:r>
        <w:rPr>
          <w:outline w:val="0"/>
          <w:color w:val="000000"/>
          <w:sz w:val="22"/>
          <w:szCs w:val="22"/>
          <w:u w:color="000000"/>
          <w:rtl w:val="0"/>
          <w:lang w:val="en-US"/>
          <w14:textFill>
            <w14:solidFill>
              <w14:srgbClr w14:val="000000"/>
            </w14:solidFill>
          </w14:textFill>
        </w:rPr>
        <w:t>, and Destination Scalloway</w:t>
      </w:r>
      <w:r>
        <w:rPr>
          <w:outline w:val="0"/>
          <w:color w:val="000000"/>
          <w:sz w:val="22"/>
          <w:szCs w:val="22"/>
          <w:u w:color="000000"/>
          <w:rtl w:val="0"/>
          <w:lang w:val="en-US"/>
          <w14:textFill>
            <w14:solidFill>
              <w14:srgbClr w14:val="000000"/>
            </w14:solidFill>
          </w14:textFill>
        </w:rPr>
        <w:t xml:space="preserve"> are the product of Scalloway residents, Scalloway Community Council, </w:t>
      </w:r>
      <w:r>
        <w:rPr>
          <w:outline w:val="0"/>
          <w:color w:val="000000"/>
          <w:sz w:val="22"/>
          <w:szCs w:val="22"/>
          <w:u w:color="000000"/>
          <w:rtl w:val="0"/>
          <w:lang w:val="en-US"/>
          <w14:textFill>
            <w14:solidFill>
              <w14:srgbClr w14:val="000000"/>
            </w14:solidFill>
          </w14:textFill>
        </w:rPr>
        <w:t xml:space="preserve">Scalloway Community Development Company, </w:t>
      </w:r>
      <w:r>
        <w:rPr>
          <w:outline w:val="0"/>
          <w:color w:val="000000"/>
          <w:sz w:val="22"/>
          <w:szCs w:val="22"/>
          <w:u w:color="000000"/>
          <w:rtl w:val="0"/>
          <w:lang w:val="en-US"/>
          <w14:textFill>
            <w14:solidFill>
              <w14:srgbClr w14:val="000000"/>
            </w14:solidFill>
          </w14:textFill>
        </w:rPr>
        <w:t xml:space="preserve">schools, youth groups, businesses, organisations and Council services working together. Collectively these documents provide the future vision for Scalloway which sets out how the village can change and develop over the next 5 to 15 years. They should be seen and used as </w:t>
      </w:r>
      <w:r>
        <w:rPr>
          <w:rFonts w:ascii="Arial Unicode MS" w:hAnsi="Arial Unicode MS" w:hint="default"/>
          <w:outline w:val="0"/>
          <w:color w:val="000000"/>
          <w:sz w:val="22"/>
          <w:szCs w:val="22"/>
          <w:u w:color="000000"/>
          <w:rtl w:val="0"/>
          <w:lang w:val="fr-FR"/>
          <w14:textFill>
            <w14:solidFill>
              <w14:srgbClr w14:val="000000"/>
            </w14:solidFill>
          </w14:textFill>
        </w:rPr>
        <w:t>‘</w:t>
      </w:r>
      <w:r>
        <w:rPr>
          <w:outline w:val="0"/>
          <w:color w:val="000000"/>
          <w:sz w:val="22"/>
          <w:szCs w:val="22"/>
          <w:u w:color="000000"/>
          <w:rtl w:val="0"/>
          <w:lang w:val="en-US"/>
          <w14:textFill>
            <w14:solidFill>
              <w14:srgbClr w14:val="000000"/>
            </w14:solidFill>
          </w14:textFill>
        </w:rPr>
        <w:t>living</w:t>
      </w:r>
      <w:r>
        <w:rPr>
          <w:rFonts w:ascii="Arial Unicode MS" w:hAnsi="Arial Unicode MS" w:hint="default"/>
          <w:outline w:val="0"/>
          <w:color w:val="000000"/>
          <w:sz w:val="22"/>
          <w:szCs w:val="22"/>
          <w:u w:color="000000"/>
          <w:rtl w:val="0"/>
          <w:lang w:val="fr-FR"/>
          <w14:textFill>
            <w14:solidFill>
              <w14:srgbClr w14:val="000000"/>
            </w14:solidFill>
          </w14:textFill>
        </w:rPr>
        <w:t xml:space="preserve">’ </w:t>
      </w:r>
      <w:r>
        <w:rPr>
          <w:outline w:val="0"/>
          <w:color w:val="000000"/>
          <w:sz w:val="22"/>
          <w:szCs w:val="22"/>
          <w:u w:color="000000"/>
          <w:rtl w:val="0"/>
          <w:lang w:val="en-US"/>
          <w14:textFill>
            <w14:solidFill>
              <w14:srgbClr w14:val="000000"/>
            </w14:solidFill>
          </w14:textFill>
        </w:rPr>
        <w:t>documents, which are flexible to future changes.</w:t>
      </w:r>
    </w:p>
    <w:p>
      <w:pPr>
        <w:pStyle w:val="Body"/>
      </w:pPr>
      <w:r>
        <w:rPr>
          <w:outline w:val="0"/>
          <w:color w:val="000000"/>
          <w:sz w:val="22"/>
          <w:szCs w:val="22"/>
          <w:u w:color="000000"/>
          <w:rtl w:val="0"/>
          <w:lang w:val="en-US"/>
          <w14:textFill>
            <w14:solidFill>
              <w14:srgbClr w14:val="000000"/>
            </w14:solidFill>
          </w14:textFill>
        </w:rPr>
        <w:t>We shall continue to work together to ensure that the priorities for the village remain relevant and achievable. We will work alongside Council Services and other stakeholders to implement, deliver and update the Action Plan on a regular basis.</w:t>
      </w:r>
    </w:p>
    <w:p>
      <w:pPr>
        <w:pStyle w:val="Heading 3"/>
      </w:pPr>
      <w:r>
        <w:rPr>
          <w:rtl w:val="0"/>
        </w:rPr>
        <w:t>2. Engagement in Planning and Community Planning Processes</w:t>
      </w:r>
    </w:p>
    <w:p>
      <w:pPr>
        <w:pStyle w:val="Body"/>
      </w:pPr>
      <w:r>
        <w:rPr>
          <w:outline w:val="0"/>
          <w:color w:val="000000"/>
          <w:sz w:val="22"/>
          <w:szCs w:val="22"/>
          <w:u w:color="000000"/>
          <w:rtl w:val="0"/>
          <w:lang w:val="en-US"/>
          <w14:textFill>
            <w14:solidFill>
              <w14:srgbClr w14:val="000000"/>
            </w14:solidFill>
          </w14:textFill>
        </w:rPr>
        <w:t>On behalf of the community, we shall actively engage, influence and contribute to the Shetland Local Development Plan (LDP2) and the Shetland Partnership Plan.</w:t>
      </w:r>
    </w:p>
    <w:p>
      <w:pPr>
        <w:pStyle w:val="Heading 3"/>
      </w:pPr>
      <w:r>
        <w:rPr>
          <w:rtl w:val="0"/>
        </w:rPr>
        <w:t>3. Leadership</w:t>
      </w:r>
    </w:p>
    <w:p>
      <w:pPr>
        <w:pStyle w:val="Body"/>
      </w:pPr>
      <w:r>
        <w:rPr>
          <w:outline w:val="0"/>
          <w:color w:val="000000"/>
          <w:sz w:val="22"/>
          <w:szCs w:val="22"/>
          <w:u w:color="000000"/>
          <w:rtl w:val="0"/>
          <w:lang w:val="en-US"/>
          <w14:textFill>
            <w14:solidFill>
              <w14:srgbClr w14:val="000000"/>
            </w14:solidFill>
          </w14:textFill>
        </w:rPr>
        <w:t>The Community Council, Scalloway Community Development Company and Shetland Islands Council will provide the leadership to drive forward the Local Place Plan. Support will be provided by the Council</w:t>
      </w:r>
      <w:r>
        <w:rPr>
          <w:rFonts w:ascii="Arial Unicode MS" w:hAnsi="Arial Unicode MS" w:hint="default"/>
          <w:outline w:val="0"/>
          <w:color w:val="000000"/>
          <w:sz w:val="22"/>
          <w:szCs w:val="22"/>
          <w:u w:color="000000"/>
          <w:rtl w:val="0"/>
          <w:lang w:val="fr-FR"/>
          <w14:textFill>
            <w14:solidFill>
              <w14:srgbClr w14:val="000000"/>
            </w14:solidFill>
          </w14:textFill>
        </w:rPr>
        <w:t>’</w:t>
      </w:r>
      <w:r>
        <w:rPr>
          <w:outline w:val="0"/>
          <w:color w:val="000000"/>
          <w:sz w:val="22"/>
          <w:szCs w:val="22"/>
          <w:u w:color="000000"/>
          <w:rtl w:val="0"/>
          <w:lang w:val="en-US"/>
          <w14:textFill>
            <w14:solidFill>
              <w14:srgbClr w14:val="000000"/>
            </w14:solidFill>
          </w14:textFill>
        </w:rPr>
        <w:t>s Planning and Community Planning &amp; Development Services, and we shall work closely with other Council services, community planning partners, agencies and other stakeholders.</w:t>
      </w:r>
    </w:p>
    <w:p>
      <w:pPr>
        <w:pStyle w:val="Heading 3"/>
      </w:pPr>
      <w:r>
        <w:rPr>
          <w:rtl w:val="0"/>
        </w:rPr>
        <w:t>4. Making a Difference</w:t>
      </w:r>
    </w:p>
    <w:p>
      <w:pPr>
        <w:pStyle w:val="Body"/>
      </w:pPr>
      <w:r>
        <w:rPr>
          <w:outline w:val="0"/>
          <w:color w:val="000000"/>
          <w:sz w:val="22"/>
          <w:szCs w:val="22"/>
          <w:u w:color="000000"/>
          <w:rtl w:val="0"/>
          <w:lang w:val="en-US"/>
          <w14:textFill>
            <w14:solidFill>
              <w14:srgbClr w14:val="000000"/>
            </w14:solidFill>
          </w14:textFill>
        </w:rPr>
        <w:t>It is important that we show what is being achieved throughout the lifetime of the Local Place Plan. We shall keep the community regularly informed of the progress we make and our successes. A number of priorities and actions have been identified as being achievable in the short term and we shall work hard to ensure this happens.</w:t>
      </w:r>
    </w:p>
    <w:p>
      <w:pPr>
        <w:pStyle w:val="Heading 3"/>
      </w:pPr>
      <w:r>
        <w:rPr>
          <w:rtl w:val="0"/>
        </w:rPr>
        <w:t>5. The Continued Involvement of our Community</w:t>
      </w:r>
    </w:p>
    <w:p>
      <w:pPr>
        <w:pStyle w:val="Body"/>
      </w:pPr>
      <w:r>
        <w:rPr>
          <w:outline w:val="0"/>
          <w:color w:val="000000"/>
          <w:sz w:val="22"/>
          <w:szCs w:val="22"/>
          <w:u w:color="000000"/>
          <w:rtl w:val="0"/>
          <w:lang w:val="en-US"/>
          <w14:textFill>
            <w14:solidFill>
              <w14:srgbClr w14:val="000000"/>
            </w14:solidFill>
          </w14:textFill>
        </w:rPr>
        <w:t>Active public participation is key to our success and we require the help of the community to make Scalloway the best place it can be. We shall therefore ask people what projects they would like to be involved in, assist them and provide opportunities to be involved.</w:t>
      </w:r>
    </w:p>
    <w:p>
      <w:pPr>
        <w:pStyle w:val="Heading 3"/>
      </w:pPr>
      <w:r>
        <w:rPr>
          <w:rFonts w:ascii="Arial Unicode MS" w:cs="Arial Unicode MS" w:hAnsi="Arial Unicode MS" w:eastAsia="Arial Unicode MS"/>
          <w:b w:val="0"/>
          <w:bCs w:val="0"/>
          <w:i w:val="0"/>
          <w:iCs w:val="0"/>
          <w:outline w:val="0"/>
          <w:color w:val="000000"/>
          <w:u w:color="000000"/>
          <w14:textFill>
            <w14:solidFill>
              <w14:srgbClr w14:val="000000"/>
            </w14:solidFill>
          </w14:textFill>
        </w:rPr>
        <w:br w:type="page"/>
      </w:r>
    </w:p>
    <w:p>
      <w:pPr>
        <w:pStyle w:val="Heading"/>
      </w:pPr>
      <w:r>
        <w:rPr>
          <w:rtl w:val="0"/>
        </w:rPr>
        <w:t>17. Summary of Progress to Date</w:t>
      </w:r>
    </w:p>
    <w:p>
      <w:pPr>
        <w:pStyle w:val="Body"/>
        <w:rPr>
          <w:b w:val="1"/>
          <w:bCs w:val="1"/>
        </w:rPr>
      </w:pPr>
      <w:r>
        <w:rPr>
          <w:b w:val="1"/>
          <w:bCs w:val="1"/>
          <w:sz w:val="22"/>
          <w:szCs w:val="22"/>
          <w:rtl w:val="0"/>
          <w:lang w:val="en-US"/>
        </w:rPr>
        <w:t>In the period since the publication of the Spatial Vision and Action Plan,</w:t>
      </w:r>
      <w:r>
        <w:rPr>
          <w:b w:val="1"/>
          <w:bCs w:val="1"/>
          <w:sz w:val="22"/>
          <w:szCs w:val="22"/>
          <w:rtl w:val="0"/>
          <w:lang w:val="en-US"/>
        </w:rPr>
        <w:t xml:space="preserve"> and Destination Scalloway, </w:t>
      </w:r>
      <w:r>
        <w:rPr>
          <w:b w:val="1"/>
          <w:bCs w:val="1"/>
          <w:sz w:val="22"/>
          <w:szCs w:val="22"/>
          <w:rtl w:val="0"/>
          <w:lang w:val="en-US"/>
        </w:rPr>
        <w:t xml:space="preserve"> Scalloway Community Council, Council Services and Scalloway Community Development Company have been busy applying for funding to help deliver the priorities for the village</w:t>
      </w:r>
      <w:r>
        <w:rPr>
          <w:b w:val="1"/>
          <w:bCs w:val="1"/>
          <w:sz w:val="22"/>
          <w:szCs w:val="22"/>
          <w:rtl w:val="0"/>
          <w:lang w:val="en-US"/>
        </w:rPr>
        <w:t xml:space="preserve"> and delivering projects that were identified through public consultation</w:t>
      </w:r>
      <w:r>
        <w:rPr>
          <w:b w:val="1"/>
          <w:bCs w:val="1"/>
          <w:sz w:val="22"/>
          <w:szCs w:val="22"/>
          <w:rtl w:val="0"/>
        </w:rPr>
        <w:t>.</w:t>
      </w:r>
    </w:p>
    <w:p>
      <w:pPr>
        <w:pStyle w:val="Body"/>
      </w:pPr>
      <w:r>
        <w:rPr>
          <w:rtl w:val="0"/>
        </w:rPr>
        <w:t xml:space="preserve">In November 2019 we were successful in obtaining a share of </w:t>
      </w:r>
      <w:r>
        <w:rPr>
          <w:rtl w:val="0"/>
        </w:rPr>
        <w:t>£</w:t>
      </w:r>
      <w:r>
        <w:rPr>
          <w:rtl w:val="0"/>
        </w:rPr>
        <w:t>205,000 from the Scottish Government</w:t>
      </w:r>
      <w:r>
        <w:rPr>
          <w:rtl w:val="1"/>
        </w:rPr>
        <w:t>’</w:t>
      </w:r>
      <w:r>
        <w:rPr>
          <w:rtl w:val="0"/>
        </w:rPr>
        <w:t>s Town Centre Fund. This money was used towards delivering some of the priorities in the Action Plan, including:</w:t>
      </w:r>
    </w:p>
    <w:p>
      <w:pPr>
        <w:pStyle w:val="Body"/>
      </w:pPr>
    </w:p>
    <w:p>
      <w:pPr>
        <w:pStyle w:val="Body"/>
        <w:numPr>
          <w:ilvl w:val="0"/>
          <w:numId w:val="2"/>
        </w:numPr>
      </w:pPr>
      <w:r>
        <w:rPr>
          <w:rtl w:val="0"/>
        </w:rPr>
        <w:t>The demolition of the old youth centre.</w:t>
      </w:r>
    </w:p>
    <w:p>
      <w:pPr>
        <w:pStyle w:val="Body"/>
        <w:numPr>
          <w:ilvl w:val="0"/>
          <w:numId w:val="2"/>
        </w:numPr>
      </w:pPr>
      <w:r>
        <w:rPr>
          <w:rtl w:val="0"/>
        </w:rPr>
        <w:t>The installation of improved signage and way-finding throughout the village.</w:t>
      </w:r>
    </w:p>
    <w:p>
      <w:pPr>
        <w:pStyle w:val="Body"/>
        <w:numPr>
          <w:ilvl w:val="0"/>
          <w:numId w:val="2"/>
        </w:numPr>
      </w:pPr>
      <w:r>
        <w:rPr>
          <w:rtl w:val="0"/>
        </w:rPr>
        <w:t>The reconfiguration of parking arrangements by Scalloway Youth and Community Centre.</w:t>
      </w:r>
    </w:p>
    <w:p>
      <w:pPr>
        <w:pStyle w:val="Body"/>
      </w:pPr>
    </w:p>
    <w:p>
      <w:pPr>
        <w:pStyle w:val="Body"/>
      </w:pPr>
      <w:r>
        <w:rPr>
          <w:rtl w:val="0"/>
        </w:rPr>
        <w:t xml:space="preserve">The work done through the Re-Create Scalloway consultation led to a further release of funding </w:t>
      </w:r>
      <w:r>
        <w:rPr>
          <w:rtl w:val="0"/>
        </w:rPr>
        <w:t xml:space="preserve">in 2021 </w:t>
      </w:r>
      <w:r>
        <w:rPr>
          <w:rtl w:val="0"/>
        </w:rPr>
        <w:t>to carry out the Scalloway Waterfront and Town Centre Feasibility Study, which yielded the Destination Scalloway masterplan document. This brought in further priorities from community feedback, including:</w:t>
      </w:r>
    </w:p>
    <w:p>
      <w:pPr>
        <w:pStyle w:val="Body"/>
      </w:pPr>
    </w:p>
    <w:p>
      <w:pPr>
        <w:pStyle w:val="Body"/>
        <w:numPr>
          <w:ilvl w:val="0"/>
          <w:numId w:val="2"/>
        </w:numPr>
      </w:pPr>
      <w:r>
        <w:rPr>
          <w:rtl w:val="0"/>
        </w:rPr>
        <w:t>Improvements to Scalloway Public Hall to utilise unused areas and provide disabled access to the first floor.</w:t>
      </w:r>
    </w:p>
    <w:p>
      <w:pPr>
        <w:pStyle w:val="Body"/>
        <w:numPr>
          <w:ilvl w:val="0"/>
          <w:numId w:val="2"/>
        </w:numPr>
      </w:pPr>
      <w:r>
        <w:rPr>
          <w:rtl w:val="0"/>
        </w:rPr>
        <w:t>A revisit of the idea to connect Scalloway to East Voe.</w:t>
      </w:r>
    </w:p>
    <w:p>
      <w:pPr>
        <w:pStyle w:val="Body"/>
        <w:numPr>
          <w:ilvl w:val="0"/>
          <w:numId w:val="2"/>
        </w:numPr>
      </w:pPr>
      <w:r>
        <w:rPr>
          <w:rtl w:val="0"/>
        </w:rPr>
        <w:t>Creation of a tourist amenity to berth the historic vessel Swan and allow access.</w:t>
      </w:r>
    </w:p>
    <w:p>
      <w:pPr>
        <w:pStyle w:val="Body"/>
      </w:pPr>
    </w:p>
    <w:p>
      <w:pPr>
        <w:pStyle w:val="Body"/>
      </w:pPr>
      <w:r>
        <w:rPr>
          <w:rtl w:val="0"/>
        </w:rPr>
        <w:t xml:space="preserve">The Destination Scalloway masterplan enabled SCDC to access </w:t>
      </w:r>
      <w:r>
        <w:rPr>
          <w:rtl w:val="0"/>
        </w:rPr>
        <w:t>£</w:t>
      </w:r>
      <w:r>
        <w:rPr>
          <w:rtl w:val="0"/>
        </w:rPr>
        <w:t xml:space="preserve">200,000 in funding to take the waterfront improvements to the detailed design stage, with consents and costings to be delivered in 2026. </w:t>
      </w:r>
    </w:p>
    <w:p>
      <w:pPr>
        <w:pStyle w:val="Body"/>
      </w:pPr>
    </w:p>
    <w:p>
      <w:pPr>
        <w:pStyle w:val="Body"/>
      </w:pPr>
      <w:r>
        <w:rPr>
          <w:rtl w:val="0"/>
        </w:rPr>
        <w:t xml:space="preserve">Further developments </w:t>
      </w:r>
      <w:r>
        <w:rPr>
          <w:rtl w:val="0"/>
        </w:rPr>
        <w:t>worth noting</w:t>
      </w:r>
      <w:r>
        <w:rPr>
          <w:rtl w:val="0"/>
        </w:rPr>
        <w:t xml:space="preserve"> include:</w:t>
      </w:r>
    </w:p>
    <w:p>
      <w:pPr>
        <w:pStyle w:val="Body"/>
      </w:pPr>
    </w:p>
    <w:p>
      <w:pPr>
        <w:pStyle w:val="Body"/>
        <w:numPr>
          <w:ilvl w:val="0"/>
          <w:numId w:val="2"/>
        </w:numPr>
      </w:pPr>
      <w:r>
        <w:rPr>
          <w:rFonts w:ascii="Arial" w:hAnsi="Arial"/>
          <w:outline w:val="0"/>
          <w:color w:val="000000"/>
          <w:u w:color="000000"/>
          <w:rtl w:val="0"/>
          <w:lang w:val="en-US"/>
          <w14:textFill>
            <w14:solidFill>
              <w14:srgbClr w14:val="000000"/>
            </w14:solidFill>
          </w14:textFill>
        </w:rPr>
        <w:t>Engagement with SIC Ports and Harbours regarding potential development of Scalloway Harbour at Blacksness.</w:t>
      </w:r>
    </w:p>
    <w:p>
      <w:pPr>
        <w:pStyle w:val="Body"/>
        <w:numPr>
          <w:ilvl w:val="0"/>
          <w:numId w:val="2"/>
        </w:numPr>
      </w:pPr>
      <w:r>
        <w:rPr>
          <w:rFonts w:ascii="Arial" w:hAnsi="Arial"/>
          <w:outline w:val="0"/>
          <w:color w:val="000000"/>
          <w:u w:color="000000"/>
          <w:rtl w:val="0"/>
          <w:lang w:val="en-US"/>
          <w14:textFill>
            <w14:solidFill>
              <w14:srgbClr w14:val="000000"/>
            </w14:solidFill>
          </w14:textFill>
        </w:rPr>
        <w:t>Collaboration with partners toward the development of a district heating scheme for the village.</w:t>
      </w:r>
    </w:p>
    <w:p>
      <w:pPr>
        <w:pStyle w:val="Body"/>
        <w:numPr>
          <w:ilvl w:val="0"/>
          <w:numId w:val="2"/>
        </w:numPr>
      </w:pPr>
      <w:r>
        <w:rPr>
          <w:rFonts w:ascii="Arial" w:hAnsi="Arial"/>
          <w:outline w:val="0"/>
          <w:color w:val="000000"/>
          <w:u w:color="000000"/>
          <w:rtl w:val="0"/>
          <w:lang w:val="en-US"/>
          <w14:textFill>
            <w14:solidFill>
              <w14:srgbClr w14:val="000000"/>
            </w14:solidFill>
          </w14:textFill>
        </w:rPr>
        <w:t xml:space="preserve">Collaboration with partners toward provision of a third marina, potentially at Westshore </w:t>
      </w:r>
      <w:r>
        <w:rPr>
          <w:rFonts w:ascii="Arial" w:hAnsi="Arial"/>
          <w:outline w:val="0"/>
          <w:color w:val="000000"/>
          <w:u w:color="000000"/>
          <w:rtl w:val="0"/>
          <w:lang w:val="en-US"/>
          <w14:textFill>
            <w14:solidFill>
              <w14:srgbClr w14:val="000000"/>
            </w14:solidFill>
          </w14:textFill>
        </w:rPr>
        <w:t xml:space="preserve">, Midshore </w:t>
      </w:r>
      <w:r>
        <w:rPr>
          <w:rFonts w:ascii="Arial" w:hAnsi="Arial"/>
          <w:outline w:val="0"/>
          <w:color w:val="000000"/>
          <w:u w:color="000000"/>
          <w:rtl w:val="0"/>
          <w:lang w:val="en-US"/>
          <w14:textFill>
            <w14:solidFill>
              <w14:srgbClr w14:val="000000"/>
            </w14:solidFill>
          </w14:textFill>
        </w:rPr>
        <w:t>or Eastshore if Blacksness developments allow.</w:t>
      </w:r>
    </w:p>
    <w:p>
      <w:pPr>
        <w:pStyle w:val="Body"/>
        <w:numPr>
          <w:ilvl w:val="0"/>
          <w:numId w:val="2"/>
        </w:numPr>
      </w:pPr>
      <w:r>
        <w:rPr>
          <w:rFonts w:ascii="Arial" w:hAnsi="Arial"/>
          <w:outline w:val="0"/>
          <w:color w:val="000000"/>
          <w:u w:color="000000"/>
          <w:rtl w:val="0"/>
          <w:lang w:val="en-US"/>
          <w14:textFill>
            <w14:solidFill>
              <w14:srgbClr w14:val="000000"/>
            </w14:solidFill>
          </w14:textFill>
        </w:rPr>
        <w:t>Completion of the Scalloway Caravan Park at Asta</w:t>
      </w:r>
      <w:r>
        <w:rPr>
          <w:rFonts w:ascii="Arial" w:hAnsi="Arial"/>
          <w:outline w:val="0"/>
          <w:color w:val="000000"/>
          <w:u w:color="000000"/>
          <w:rtl w:val="0"/>
          <w:lang w:val="en-US"/>
          <w14:textFill>
            <w14:solidFill>
              <w14:srgbClr w14:val="000000"/>
            </w14:solidFill>
          </w14:textFill>
        </w:rPr>
        <w:t xml:space="preserve"> and successful operation for 3 years</w:t>
      </w:r>
      <w:r>
        <w:rPr>
          <w:rFonts w:ascii="Arial" w:hAnsi="Arial"/>
          <w:outline w:val="0"/>
          <w:color w:val="000000"/>
          <w:u w:color="000000"/>
          <w:rtl w:val="0"/>
          <w14:textFill>
            <w14:solidFill>
              <w14:srgbClr w14:val="000000"/>
            </w14:solidFill>
          </w14:textFill>
        </w:rPr>
        <w:t>.</w:t>
      </w:r>
    </w:p>
    <w:p>
      <w:pPr>
        <w:pStyle w:val="Body"/>
        <w:numPr>
          <w:ilvl w:val="0"/>
          <w:numId w:val="2"/>
        </w:numPr>
      </w:pPr>
      <w:r>
        <w:rPr>
          <w:rFonts w:ascii="Arial" w:hAnsi="Arial"/>
          <w:outline w:val="0"/>
          <w:color w:val="000000"/>
          <w:u w:color="000000"/>
          <w:rtl w:val="0"/>
          <w:lang w:val="en-US"/>
          <w14:textFill>
            <w14:solidFill>
              <w14:srgbClr w14:val="000000"/>
            </w14:solidFill>
          </w14:textFill>
        </w:rPr>
        <w:t xml:space="preserve">Further heritage trail signage and interpretation materials being developed. </w:t>
      </w:r>
    </w:p>
    <w:p>
      <w:pPr>
        <w:pStyle w:val="Body"/>
      </w:pPr>
    </w:p>
    <w:p>
      <w:pPr>
        <w:pStyle w:val="Body"/>
      </w:pPr>
      <w:r>
        <w:rPr>
          <w:rtl w:val="0"/>
        </w:rPr>
        <w:t xml:space="preserve">We shall </w:t>
      </w:r>
      <w:r>
        <w:rPr>
          <w:rtl w:val="0"/>
        </w:rPr>
        <w:t xml:space="preserve">continue to </w:t>
      </w:r>
      <w:r>
        <w:rPr>
          <w:rtl w:val="0"/>
        </w:rPr>
        <w:t>work alongside our partners (see Appendix) to seek out funding opportunities to deliver the priorities.</w:t>
      </w:r>
    </w:p>
    <w:p>
      <w:pPr>
        <w:pStyle w:val="List Paragraph"/>
        <w:spacing w:after="80"/>
      </w:pPr>
      <w:r>
        <w:rPr>
          <w:rFonts w:ascii="Arial Unicode MS" w:cs="Arial Unicode MS" w:hAnsi="Arial Unicode MS" w:eastAsia="Arial Unicode MS"/>
          <w:b w:val="0"/>
          <w:bCs w:val="0"/>
          <w:i w:val="0"/>
          <w:iCs w:val="0"/>
        </w:rPr>
        <w:br w:type="page"/>
      </w:r>
    </w:p>
    <w:p>
      <w:pPr>
        <w:pStyle w:val="Heading"/>
      </w:pPr>
      <w:r>
        <w:rPr>
          <w:rtl w:val="0"/>
        </w:rPr>
        <w:t>Appendices</w:t>
      </w:r>
    </w:p>
    <w:p>
      <w:pPr>
        <w:pStyle w:val="Heading"/>
      </w:pPr>
    </w:p>
    <w:p>
      <w:pPr>
        <w:pStyle w:val="Heading 2"/>
      </w:pPr>
      <w:r>
        <w:rPr>
          <w:rtl w:val="0"/>
        </w:rPr>
        <w:t>Appendix A: Community Engagement Summary</w:t>
      </w:r>
    </w:p>
    <w:p>
      <w:pPr>
        <w:pStyle w:val="List Paragraph"/>
        <w:numPr>
          <w:ilvl w:val="0"/>
          <w:numId w:val="2"/>
        </w:numPr>
      </w:pPr>
      <w:r>
        <w:rPr>
          <w:rFonts w:cs="Arial Unicode MS" w:eastAsia="Arial Unicode MS"/>
          <w:rtl w:val="0"/>
          <w:lang w:val="en-US"/>
        </w:rPr>
        <w:t>14 people attended the workshops held in May, June and November 2018.</w:t>
      </w:r>
    </w:p>
    <w:p>
      <w:pPr>
        <w:pStyle w:val="List Paragraph"/>
        <w:numPr>
          <w:ilvl w:val="0"/>
          <w:numId w:val="2"/>
        </w:numPr>
      </w:pPr>
      <w:r>
        <w:rPr>
          <w:rFonts w:cs="Arial Unicode MS" w:eastAsia="Arial Unicode MS"/>
          <w:rtl w:val="0"/>
          <w:lang w:val="en-US"/>
        </w:rPr>
        <w:t>296 young people engaged at the Primary School and Anderson High School.</w:t>
      </w:r>
    </w:p>
    <w:p>
      <w:pPr>
        <w:pStyle w:val="List Paragraph"/>
        <w:numPr>
          <w:ilvl w:val="0"/>
          <w:numId w:val="2"/>
        </w:numPr>
      </w:pPr>
      <w:r>
        <w:rPr>
          <w:rFonts w:cs="Arial Unicode MS" w:eastAsia="Arial Unicode MS"/>
          <w:rtl w:val="0"/>
          <w:lang w:val="en-US"/>
        </w:rPr>
        <w:t>166 pre-consultation surveys were completed and returned to the Community Council.</w:t>
      </w:r>
    </w:p>
    <w:p>
      <w:pPr>
        <w:pStyle w:val="List Paragraph"/>
        <w:numPr>
          <w:ilvl w:val="0"/>
          <w:numId w:val="2"/>
        </w:numPr>
      </w:pPr>
      <w:r>
        <w:rPr>
          <w:rFonts w:cs="Arial Unicode MS" w:eastAsia="Arial Unicode MS"/>
          <w:rtl w:val="0"/>
          <w:lang w:val="en-US"/>
        </w:rPr>
        <w:t>A voting event (in-person and online) drew 157 participants, narrowing 24 options down to 18 for the Action Plan</w:t>
      </w:r>
      <w:r>
        <w:rPr>
          <w:rFonts w:cs="Arial Unicode MS" w:eastAsia="Arial Unicode MS"/>
          <w:rtl w:val="0"/>
          <w:lang w:val="en-US"/>
        </w:rPr>
        <w:t>, November 2019</w:t>
      </w:r>
    </w:p>
    <w:p>
      <w:pPr>
        <w:pStyle w:val="List Paragraph"/>
        <w:numPr>
          <w:ilvl w:val="0"/>
          <w:numId w:val="2"/>
        </w:numPr>
      </w:pPr>
      <w:r>
        <w:rPr>
          <w:rFonts w:cs="Arial Unicode MS" w:eastAsia="Arial Unicode MS"/>
          <w:rtl w:val="0"/>
          <w:lang w:val="en-US"/>
        </w:rPr>
        <w:t>20 waterfront businesses, community organisations and statutory bodies between August 2021 and February 2022, as part of the Scalloway Waterfront &amp; Town Centre Feasibility Study.</w:t>
      </w:r>
    </w:p>
    <w:p>
      <w:pPr>
        <w:pStyle w:val="List Paragraph"/>
        <w:numPr>
          <w:ilvl w:val="0"/>
          <w:numId w:val="2"/>
        </w:numPr>
      </w:pPr>
      <w:r>
        <w:rPr>
          <w:rFonts w:cs="Arial Unicode MS" w:eastAsia="Arial Unicode MS"/>
          <w:rtl w:val="0"/>
          <w:lang w:val="en-US"/>
        </w:rPr>
        <w:t>375 hits through 271 individual devices with an average spend time of over 6 minutes.</w:t>
      </w:r>
    </w:p>
    <w:p>
      <w:pPr>
        <w:pStyle w:val="List Paragraph"/>
        <w:numPr>
          <w:ilvl w:val="0"/>
          <w:numId w:val="2"/>
        </w:numPr>
      </w:pPr>
      <w:r>
        <w:rPr>
          <w:rFonts w:cs="Arial Unicode MS" w:eastAsia="Arial Unicode MS"/>
          <w:rtl w:val="0"/>
          <w:lang w:val="en-US"/>
        </w:rPr>
        <w:t>Scalloway Community Development Company held an open day in August 2025, where all the major active projects were on display and the Scalloway Local Place Plan V2 Draft was aired.</w:t>
      </w:r>
    </w:p>
    <w:p>
      <w:pPr>
        <w:pStyle w:val="Body"/>
        <w:rPr>
          <w:rFonts w:ascii="Arial" w:cs="Arial" w:hAnsi="Arial" w:eastAsia="Arial"/>
          <w:b w:val="1"/>
          <w:bCs w:val="1"/>
          <w:i w:val="1"/>
          <w:iCs w:val="1"/>
          <w:outline w:val="0"/>
          <w:color w:val="444444"/>
          <w:sz w:val="22"/>
          <w:szCs w:val="22"/>
          <w:u w:color="444444"/>
          <w:lang w:val="en-US"/>
          <w14:textFill>
            <w14:solidFill>
              <w14:srgbClr w14:val="444444"/>
            </w14:solidFill>
          </w14:textFill>
        </w:rPr>
      </w:pPr>
      <w:r>
        <w:rPr>
          <w:rFonts w:ascii="Arial" w:hAnsi="Arial"/>
          <w:b w:val="1"/>
          <w:bCs w:val="1"/>
          <w:i w:val="1"/>
          <w:iCs w:val="1"/>
          <w:outline w:val="0"/>
          <w:color w:val="444444"/>
          <w:sz w:val="22"/>
          <w:szCs w:val="22"/>
          <w:u w:color="444444"/>
          <w:rtl w:val="0"/>
          <w:lang w:val="en-US"/>
          <w14:textFill>
            <w14:solidFill>
              <w14:srgbClr w14:val="444444"/>
            </w14:solidFill>
          </w14:textFill>
        </w:rPr>
        <w:t>A full summary of the Re-Create Scalloway and Destination Scalloway engagement processes is contained in the Spatial Vision (May 2019) and the Destination Scalloway masterplan document (2022), both available on the Shetland Islands Council planning website.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40" w:line="240" w:lineRule="auto"/>
        <w:jc w:val="left"/>
        <w:rPr>
          <w:rFonts w:ascii="Arial" w:cs="Arial" w:hAnsi="Arial" w:eastAsia="Arial"/>
          <w:i w:val="1"/>
          <w:iCs w:val="1"/>
          <w:outline w:val="0"/>
          <w:color w:val="444444"/>
          <w:sz w:val="22"/>
          <w:szCs w:val="22"/>
          <w:u w:color="444444"/>
          <w:lang w:val="en-US"/>
          <w14:textOutline>
            <w14:noFill/>
          </w14:textOutline>
          <w14:textFill>
            <w14:solidFill>
              <w14:srgbClr w14:val="444444"/>
            </w14:solidFill>
          </w14:textFill>
        </w:rPr>
      </w:pPr>
      <w:r>
        <w:rPr>
          <w:rFonts w:ascii="Arial" w:hAnsi="Arial"/>
          <w:outline w:val="0"/>
          <w:color w:val="444444"/>
          <w:sz w:val="22"/>
          <w:szCs w:val="22"/>
          <w:u w:color="444444"/>
          <w:rtl w:val="0"/>
          <w:lang w:val="en-US"/>
          <w14:textOutline>
            <w14:noFill/>
          </w14:textOutline>
          <w14:textFill>
            <w14:solidFill>
              <w14:srgbClr w14:val="444444"/>
            </w14:solidFill>
          </w14:textFill>
        </w:rPr>
        <w:t xml:space="preserve"> </w:t>
      </w:r>
    </w:p>
    <w:p>
      <w:pPr>
        <w:pStyle w:val="Heading 2"/>
      </w:pPr>
      <w:r>
        <w:rPr>
          <w:rFonts w:ascii="Arial Unicode MS" w:cs="Arial Unicode MS" w:hAnsi="Arial Unicode MS" w:eastAsia="Arial Unicode MS"/>
          <w:b w:val="0"/>
          <w:bCs w:val="0"/>
          <w:i w:val="0"/>
          <w:iCs w:val="0"/>
          <w:outline w:val="0"/>
          <w:color w:val="444444"/>
          <w:sz w:val="22"/>
          <w:szCs w:val="22"/>
          <w:u w:color="444444"/>
          <w:lang w:val="en-US"/>
          <w14:textFill>
            <w14:solidFill>
              <w14:srgbClr w14:val="444444"/>
            </w14:solidFill>
          </w14:textFill>
        </w:rPr>
        <w:br w:type="page"/>
      </w:r>
    </w:p>
    <w:p>
      <w:pPr>
        <w:pStyle w:val="Heading 2"/>
      </w:pPr>
      <w:r>
        <w:rPr>
          <w:rtl w:val="0"/>
        </w:rPr>
        <w:t>Appendix B: Maps of Development Zones and Proposals</w:t>
      </w:r>
    </w:p>
    <w:p>
      <w:pPr>
        <w:pStyle w:val="Heading 2"/>
        <w:rPr>
          <w:lang w:val="en-US"/>
        </w:rPr>
      </w:pPr>
      <w:r>
        <w:rPr>
          <w:i w:val="1"/>
          <w:iCs w:val="1"/>
          <w:outline w:val="0"/>
          <w:color w:val="444444"/>
          <w:sz w:val="22"/>
          <w:szCs w:val="22"/>
          <w:u w:color="444444"/>
          <w:lang w:val="en-US"/>
          <w14:textFill>
            <w14:solidFill>
              <w14:srgbClr w14:val="444444"/>
            </w14:solidFill>
          </w14:textFill>
        </w:rPr>
        <w:drawing xmlns:a="http://schemas.openxmlformats.org/drawingml/2006/main">
          <wp:inline distT="0" distB="0" distL="0" distR="0">
            <wp:extent cx="5930900" cy="3946241"/>
            <wp:effectExtent l="0" t="0" r="0" b="0"/>
            <wp:docPr id="1073741860" name="officeArt object" descr="page17image20252528.png"/>
            <wp:cNvGraphicFramePr/>
            <a:graphic xmlns:a="http://schemas.openxmlformats.org/drawingml/2006/main">
              <a:graphicData uri="http://schemas.openxmlformats.org/drawingml/2006/picture">
                <pic:pic xmlns:pic="http://schemas.openxmlformats.org/drawingml/2006/picture">
                  <pic:nvPicPr>
                    <pic:cNvPr id="1073741860" name="page17image20252528.png" descr="page17image20252528.png"/>
                    <pic:cNvPicPr>
                      <a:picLocks noChangeAspect="1"/>
                    </pic:cNvPicPr>
                  </pic:nvPicPr>
                  <pic:blipFill>
                    <a:blip r:embed="rId22">
                      <a:extLst/>
                    </a:blip>
                    <a:stretch>
                      <a:fillRect/>
                    </a:stretch>
                  </pic:blipFill>
                  <pic:spPr>
                    <a:xfrm>
                      <a:off x="0" y="0"/>
                      <a:ext cx="5930900" cy="3946241"/>
                    </a:xfrm>
                    <a:prstGeom prst="rect">
                      <a:avLst/>
                    </a:prstGeom>
                    <a:ln w="25400" cap="flat">
                      <a:solidFill>
                        <a:srgbClr val="F3F7F5"/>
                      </a:solidFill>
                      <a:prstDash val="solid"/>
                      <a:miter lim="400000"/>
                    </a:ln>
                    <a:effectLst>
                      <a:outerShdw sx="100000" sy="100000" kx="0" ky="0" algn="b" rotWithShape="0" blurRad="50800" dist="25400" dir="3600000">
                        <a:srgbClr val="000000">
                          <a:alpha val="70000"/>
                        </a:srgbClr>
                      </a:outerShdw>
                    </a:effectLst>
                  </pic:spPr>
                </pic:pic>
              </a:graphicData>
            </a:graphic>
          </wp:inline>
        </w:drawing>
      </w:r>
    </w:p>
    <w:p>
      <w:pPr>
        <w:pStyle w:val="Heading 2"/>
        <w:rPr>
          <w:lang w:val="en-US"/>
        </w:rPr>
      </w:pPr>
    </w:p>
    <w:p>
      <w:pPr>
        <w:pStyle w:val="Heading 2"/>
        <w:rPr>
          <w:lang w:val="en-US"/>
        </w:rPr>
      </w:pPr>
    </w:p>
    <w:p>
      <w:pPr>
        <w:pStyle w:val="Heading 2"/>
        <w:rPr>
          <w:lang w:val="en-US"/>
        </w:rPr>
      </w:pPr>
    </w:p>
    <w:p>
      <w:pPr>
        <w:pStyle w:val="Heading 2"/>
        <w:rPr>
          <w:lang w:val="en-US"/>
        </w:rPr>
      </w:pPr>
    </w:p>
    <w:p>
      <w:pPr>
        <w:pStyle w:val="Heading 2"/>
        <w:rPr>
          <w:lang w:val="en-US"/>
        </w:rPr>
      </w:pPr>
    </w:p>
    <w:p>
      <w:pPr>
        <w:pStyle w:val="Heading 2"/>
      </w:pPr>
      <w:r>
        <w:rPr>
          <w:rFonts w:ascii="Arial Unicode MS" w:cs="Arial Unicode MS" w:hAnsi="Arial Unicode MS" w:eastAsia="Arial Unicode MS"/>
          <w:b w:val="0"/>
          <w:bCs w:val="0"/>
          <w:i w:val="0"/>
          <w:iCs w:val="0"/>
          <w:lang w:val="en-US"/>
        </w:rPr>
        <w:br w:type="page"/>
      </w:r>
    </w:p>
    <w:p>
      <w:pPr>
        <w:pStyle w:val="Heading 2"/>
      </w:pPr>
      <w:r>
        <w:rPr>
          <w:rtl w:val="0"/>
        </w:rPr>
        <w:t>Appendix C: List of Consultees and Partners</w:t>
      </w:r>
    </w:p>
    <w:p>
      <w:pPr>
        <w:pStyle w:val="Heading 2"/>
      </w:pPr>
    </w:p>
    <w:p>
      <w:pPr>
        <w:pStyle w:val="Heading 3"/>
      </w:pPr>
      <w:r>
        <w:rPr>
          <w:outline w:val="0"/>
          <w:color w:val="444444"/>
          <w:u w:color="444444"/>
          <w:rtl w:val="0"/>
          <w:lang w:val="en-US"/>
          <w14:textFill>
            <w14:solidFill>
              <w14:srgbClr w14:val="444444"/>
            </w14:solidFill>
          </w14:textFill>
        </w:rPr>
        <w:t>Scalloway</w:t>
      </w:r>
    </w:p>
    <w:p>
      <w:pPr>
        <w:pStyle w:val="Heading 3"/>
      </w:pPr>
      <w:r>
        <w:rPr>
          <w:outline w:val="0"/>
          <w:color w:val="000000"/>
          <w:sz w:val="22"/>
          <w:szCs w:val="22"/>
          <w:u w:color="000000"/>
          <w:rtl w:val="0"/>
          <w:lang w:val="en-US"/>
          <w14:textFill>
            <w14:solidFill>
              <w14:srgbClr w14:val="000000"/>
            </w14:solidFill>
          </w14:textFill>
        </w:rPr>
        <w:t>Scalloway Community Council</w:t>
      </w:r>
    </w:p>
    <w:p>
      <w:pPr>
        <w:pStyle w:val="Heading 3"/>
      </w:pPr>
      <w:r>
        <w:rPr>
          <w:outline w:val="0"/>
          <w:color w:val="000000"/>
          <w:sz w:val="22"/>
          <w:szCs w:val="22"/>
          <w:u w:color="000000"/>
          <w:rtl w:val="0"/>
          <w:lang w:val="en-US"/>
          <w14:textFill>
            <w14:solidFill>
              <w14:srgbClr w14:val="000000"/>
            </w14:solidFill>
          </w14:textFill>
        </w:rPr>
        <w:t>Scalloway Community Development Company</w:t>
      </w:r>
    </w:p>
    <w:p>
      <w:pPr>
        <w:pStyle w:val="Heading 3"/>
      </w:pPr>
      <w:r>
        <w:rPr>
          <w:outline w:val="0"/>
          <w:color w:val="000000"/>
          <w:sz w:val="22"/>
          <w:szCs w:val="22"/>
          <w:u w:color="000000"/>
          <w:rtl w:val="0"/>
          <w:lang w:val="en-US"/>
          <w14:textFill>
            <w14:solidFill>
              <w14:srgbClr w14:val="000000"/>
            </w14:solidFill>
          </w14:textFill>
        </w:rPr>
        <w:t>The Scalloway Community</w:t>
      </w:r>
    </w:p>
    <w:p>
      <w:pPr>
        <w:pStyle w:val="Heading 3"/>
      </w:pPr>
      <w:r>
        <w:rPr>
          <w:outline w:val="0"/>
          <w:color w:val="000000"/>
          <w:sz w:val="22"/>
          <w:szCs w:val="22"/>
          <w:u w:color="000000"/>
          <w:rtl w:val="0"/>
          <w:lang w:val="en-US"/>
          <w14:textFill>
            <w14:solidFill>
              <w14:srgbClr w14:val="000000"/>
            </w14:solidFill>
          </w14:textFill>
        </w:rPr>
        <w:t>The Scalloway Business Community</w:t>
      </w:r>
    </w:p>
    <w:p>
      <w:pPr>
        <w:pStyle w:val="Heading 3"/>
      </w:pPr>
      <w:r>
        <w:rPr>
          <w:outline w:val="0"/>
          <w:color w:val="000000"/>
          <w:sz w:val="22"/>
          <w:szCs w:val="22"/>
          <w:u w:color="000000"/>
          <w:rtl w:val="0"/>
          <w:lang w:val="en-US"/>
          <w14:textFill>
            <w14:solidFill>
              <w14:srgbClr w14:val="000000"/>
            </w14:solidFill>
          </w14:textFill>
        </w:rPr>
        <w:t>Local Councillors</w:t>
      </w:r>
    </w:p>
    <w:p>
      <w:pPr>
        <w:pStyle w:val="Heading 3"/>
      </w:pPr>
      <w:r>
        <w:rPr>
          <w:rtl w:val="0"/>
          <w:lang w:val="en-US"/>
        </w:rPr>
        <w:t>Shetland UHI (</w:t>
      </w:r>
      <w:r>
        <w:rPr>
          <w:outline w:val="0"/>
          <w:color w:val="000000"/>
          <w:sz w:val="22"/>
          <w:szCs w:val="22"/>
          <w:u w:color="000000"/>
          <w:rtl w:val="0"/>
          <w:lang w:val="en-US"/>
          <w14:textFill>
            <w14:solidFill>
              <w14:srgbClr w14:val="000000"/>
            </w14:solidFill>
          </w14:textFill>
        </w:rPr>
        <w:t>NAFC Marine Centre)</w:t>
      </w:r>
    </w:p>
    <w:p>
      <w:pPr>
        <w:pStyle w:val="Heading 3"/>
      </w:pPr>
      <w:r>
        <w:rPr>
          <w:outline w:val="0"/>
          <w:color w:val="000000"/>
          <w:sz w:val="22"/>
          <w:szCs w:val="22"/>
          <w:u w:color="000000"/>
          <w:rtl w:val="0"/>
          <w:lang w:val="en-US"/>
          <w14:textFill>
            <w14:solidFill>
              <w14:srgbClr w14:val="000000"/>
            </w14:solidFill>
          </w14:textFill>
        </w:rPr>
        <w:t>Scalloway Youth and Community Centre</w:t>
      </w:r>
    </w:p>
    <w:p>
      <w:pPr>
        <w:pStyle w:val="Heading 3"/>
      </w:pPr>
      <w:r>
        <w:rPr>
          <w:outline w:val="0"/>
          <w:color w:val="000000"/>
          <w:sz w:val="22"/>
          <w:szCs w:val="22"/>
          <w:u w:color="000000"/>
          <w:rtl w:val="0"/>
          <w:lang w:val="en-US"/>
          <w14:textFill>
            <w14:solidFill>
              <w14:srgbClr w14:val="000000"/>
            </w14:solidFill>
          </w14:textFill>
        </w:rPr>
        <w:t>Scalloway Primary School</w:t>
      </w:r>
    </w:p>
    <w:p>
      <w:pPr>
        <w:pStyle w:val="Heading 3"/>
        <w:rPr>
          <w:lang w:val="de-DE"/>
        </w:rPr>
      </w:pPr>
      <w:r>
        <w:rPr>
          <w:outline w:val="0"/>
          <w:color w:val="000000"/>
          <w:sz w:val="22"/>
          <w:szCs w:val="22"/>
          <w:u w:color="000000"/>
          <w:rtl w:val="0"/>
          <w:lang w:val="de-DE"/>
          <w14:textFill>
            <w14:solidFill>
              <w14:srgbClr w14:val="000000"/>
            </w14:solidFill>
          </w14:textFill>
        </w:rPr>
        <w:t>Fraser Park Trust</w:t>
      </w:r>
    </w:p>
    <w:p>
      <w:pPr>
        <w:pStyle w:val="Heading 3"/>
      </w:pPr>
      <w:r>
        <w:rPr>
          <w:outline w:val="0"/>
          <w:color w:val="000000"/>
          <w:sz w:val="22"/>
          <w:szCs w:val="22"/>
          <w:u w:color="000000"/>
          <w:rtl w:val="0"/>
          <w:lang w:val="en-US"/>
          <w14:textFill>
            <w14:solidFill>
              <w14:srgbClr w14:val="000000"/>
            </w14:solidFill>
          </w14:textFill>
        </w:rPr>
        <w:t>The Scalloway Museum &amp; Shetland Bus Friendship Society</w:t>
      </w:r>
    </w:p>
    <w:p>
      <w:pPr>
        <w:pStyle w:val="Heading 3"/>
      </w:pPr>
      <w:r>
        <w:rPr>
          <w:outline w:val="0"/>
          <w:color w:val="000000"/>
          <w:sz w:val="22"/>
          <w:szCs w:val="22"/>
          <w:u w:color="000000"/>
          <w:rtl w:val="0"/>
          <w:lang w:val="en-US"/>
          <w14:textFill>
            <w14:solidFill>
              <w14:srgbClr w14:val="000000"/>
            </w14:solidFill>
          </w14:textFill>
        </w:rPr>
        <w:t>Scalloway Boating Club</w:t>
      </w:r>
    </w:p>
    <w:p>
      <w:pPr>
        <w:pStyle w:val="Heading 3"/>
      </w:pPr>
      <w:r>
        <w:rPr>
          <w:outline w:val="0"/>
          <w:color w:val="000000"/>
          <w:sz w:val="22"/>
          <w:szCs w:val="22"/>
          <w:u w:color="000000"/>
          <w:rtl w:val="0"/>
          <w:lang w:val="en-US"/>
          <w14:textFill>
            <w14:solidFill>
              <w14:srgbClr w14:val="000000"/>
            </w14:solidFill>
          </w14:textFill>
        </w:rPr>
        <w:t>Scalloway Churches</w:t>
      </w:r>
    </w:p>
    <w:p>
      <w:pPr>
        <w:pStyle w:val="Heading 3"/>
        <w:rPr>
          <w:outline w:val="0"/>
          <w:color w:val="000000"/>
          <w:sz w:val="22"/>
          <w:szCs w:val="22"/>
          <w:u w:color="000000"/>
          <w:lang w:val="en-US"/>
          <w14:textFill>
            <w14:solidFill>
              <w14:srgbClr w14:val="000000"/>
            </w14:solidFill>
          </w14:textFill>
        </w:rPr>
      </w:pPr>
      <w:r>
        <w:rPr>
          <w:outline w:val="0"/>
          <w:color w:val="000000"/>
          <w:sz w:val="22"/>
          <w:szCs w:val="22"/>
          <w:u w:color="000000"/>
          <w:rtl w:val="0"/>
          <w:lang w:val="en-US"/>
          <w14:textFill>
            <w14:solidFill>
              <w14:srgbClr w14:val="000000"/>
            </w14:solidFill>
          </w14:textFill>
        </w:rPr>
        <w:t>Royal British Legion (Scalloway Branch)</w:t>
      </w:r>
    </w:p>
    <w:p>
      <w:pPr>
        <w:pStyle w:val="Heading 3"/>
      </w:pPr>
      <w:r>
        <w:rPr>
          <w:outline w:val="0"/>
          <w:color w:val="000000"/>
          <w:sz w:val="22"/>
          <w:szCs w:val="22"/>
          <w:u w:color="000000"/>
          <w:rtl w:val="0"/>
          <w:lang w:val="en-US"/>
          <w14:textFill>
            <w14:solidFill>
              <w14:srgbClr w14:val="000000"/>
            </w14:solidFill>
          </w14:textFill>
        </w:rPr>
        <w:t>Crossreach</w:t>
      </w:r>
    </w:p>
    <w:p>
      <w:pPr>
        <w:pStyle w:val="Heading 3"/>
      </w:pPr>
    </w:p>
    <w:p>
      <w:pPr>
        <w:pStyle w:val="Heading 3"/>
      </w:pPr>
      <w:r>
        <w:rPr>
          <w:outline w:val="0"/>
          <w:color w:val="444444"/>
          <w:u w:color="444444"/>
          <w:rtl w:val="0"/>
          <w:lang w:val="en-US"/>
          <w14:textFill>
            <w14:solidFill>
              <w14:srgbClr w14:val="444444"/>
            </w14:solidFill>
          </w14:textFill>
        </w:rPr>
        <w:t>Shetland Islands Council</w:t>
      </w:r>
    </w:p>
    <w:p>
      <w:pPr>
        <w:pStyle w:val="Heading 3"/>
      </w:pPr>
      <w:r>
        <w:rPr>
          <w:outline w:val="0"/>
          <w:color w:val="000000"/>
          <w:sz w:val="22"/>
          <w:szCs w:val="22"/>
          <w:u w:color="000000"/>
          <w:rtl w:val="0"/>
          <w:lang w:val="en-US"/>
          <w14:textFill>
            <w14:solidFill>
              <w14:srgbClr w14:val="000000"/>
            </w14:solidFill>
          </w14:textFill>
        </w:rPr>
        <w:t>Development Services</w:t>
      </w:r>
    </w:p>
    <w:p>
      <w:pPr>
        <w:pStyle w:val="Heading 3"/>
      </w:pPr>
      <w:r>
        <w:rPr>
          <w:outline w:val="0"/>
          <w:color w:val="000000"/>
          <w:sz w:val="22"/>
          <w:szCs w:val="22"/>
          <w:u w:color="000000"/>
          <w:rtl w:val="0"/>
          <w:lang w:val="en-US"/>
          <w14:textFill>
            <w14:solidFill>
              <w14:srgbClr w14:val="000000"/>
            </w14:solidFill>
          </w14:textFill>
        </w:rPr>
        <w:t>Infrastructure Services</w:t>
      </w:r>
    </w:p>
    <w:p>
      <w:pPr>
        <w:pStyle w:val="Heading 3"/>
      </w:pPr>
      <w:r>
        <w:rPr>
          <w:outline w:val="0"/>
          <w:color w:val="000000"/>
          <w:sz w:val="22"/>
          <w:szCs w:val="22"/>
          <w:u w:color="000000"/>
          <w:rtl w:val="0"/>
          <w:lang w:val="en-US"/>
          <w14:textFill>
            <w14:solidFill>
              <w14:srgbClr w14:val="000000"/>
            </w14:solidFill>
          </w14:textFill>
        </w:rPr>
        <w:t>Community Health and Social Care</w:t>
      </w:r>
    </w:p>
    <w:p>
      <w:pPr>
        <w:pStyle w:val="Heading 3"/>
      </w:pPr>
      <w:r>
        <w:rPr>
          <w:outline w:val="0"/>
          <w:color w:val="000000"/>
          <w:sz w:val="22"/>
          <w:szCs w:val="22"/>
          <w:u w:color="000000"/>
          <w:rtl w:val="0"/>
          <w:lang w:val="en-US"/>
          <w14:textFill>
            <w14:solidFill>
              <w14:srgbClr w14:val="000000"/>
            </w14:solidFill>
          </w14:textFill>
        </w:rPr>
        <w:t>Children</w:t>
      </w:r>
      <w:r>
        <w:rPr>
          <w:rFonts w:ascii="Arial Unicode MS" w:hAnsi="Arial Unicode MS" w:hint="default"/>
          <w:b w:val="0"/>
          <w:bCs w:val="0"/>
          <w:outline w:val="0"/>
          <w:color w:val="000000"/>
          <w:sz w:val="22"/>
          <w:szCs w:val="22"/>
          <w:u w:color="000000"/>
          <w:rtl w:val="0"/>
          <w:lang w:val="fr-FR"/>
          <w14:textFill>
            <w14:solidFill>
              <w14:srgbClr w14:val="000000"/>
            </w14:solidFill>
          </w14:textFill>
        </w:rPr>
        <w:t>’</w:t>
      </w:r>
      <w:r>
        <w:rPr>
          <w:outline w:val="0"/>
          <w:color w:val="000000"/>
          <w:sz w:val="22"/>
          <w:szCs w:val="22"/>
          <w:u w:color="000000"/>
          <w:rtl w:val="0"/>
          <w:lang w:val="en-US"/>
          <w14:textFill>
            <w14:solidFill>
              <w14:srgbClr w14:val="000000"/>
            </w14:solidFill>
          </w14:textFill>
        </w:rPr>
        <w:t>s Services</w:t>
      </w:r>
    </w:p>
    <w:p>
      <w:pPr>
        <w:pStyle w:val="Heading 3"/>
      </w:pPr>
      <w:r>
        <w:rPr>
          <w:outline w:val="0"/>
          <w:color w:val="000000"/>
          <w:sz w:val="22"/>
          <w:szCs w:val="22"/>
          <w:u w:color="000000"/>
          <w:rtl w:val="0"/>
          <w:lang w:val="en-US"/>
          <w14:textFill>
            <w14:solidFill>
              <w14:srgbClr w14:val="000000"/>
            </w14:solidFill>
          </w14:textFill>
        </w:rPr>
        <w:t>Corporate Services</w:t>
      </w:r>
    </w:p>
    <w:p>
      <w:pPr>
        <w:pStyle w:val="Heading 3"/>
      </w:pPr>
    </w:p>
    <w:p>
      <w:pPr>
        <w:pStyle w:val="Heading 3"/>
        <w:rPr>
          <w:lang w:val="es-ES_tradnl"/>
        </w:rPr>
      </w:pPr>
      <w:r>
        <w:rPr>
          <w:outline w:val="0"/>
          <w:color w:val="444444"/>
          <w:u w:color="444444"/>
          <w:rtl w:val="0"/>
          <w:lang w:val="es-ES_tradnl"/>
          <w14:textFill>
            <w14:solidFill>
              <w14:srgbClr w14:val="444444"/>
            </w14:solidFill>
          </w14:textFill>
        </w:rPr>
        <w:t>Key Agencies</w:t>
      </w:r>
    </w:p>
    <w:p>
      <w:pPr>
        <w:pStyle w:val="Heading 3"/>
      </w:pPr>
      <w:r>
        <w:rPr>
          <w:outline w:val="0"/>
          <w:color w:val="000000"/>
          <w:sz w:val="22"/>
          <w:szCs w:val="22"/>
          <w:u w:color="000000"/>
          <w:rtl w:val="0"/>
          <w:lang w:val="en-US"/>
          <w14:textFill>
            <w14:solidFill>
              <w14:srgbClr w14:val="000000"/>
            </w14:solidFill>
          </w14:textFill>
        </w:rPr>
        <w:t>NHS Shetland</w:t>
      </w:r>
    </w:p>
    <w:p>
      <w:pPr>
        <w:pStyle w:val="Heading 3"/>
      </w:pPr>
      <w:r>
        <w:rPr>
          <w:outline w:val="0"/>
          <w:color w:val="000000"/>
          <w:sz w:val="22"/>
          <w:szCs w:val="22"/>
          <w:u w:color="000000"/>
          <w:rtl w:val="0"/>
          <w:lang w:val="en-US"/>
          <w14:textFill>
            <w14:solidFill>
              <w14:srgbClr w14:val="000000"/>
            </w14:solidFill>
          </w14:textFill>
        </w:rPr>
        <w:t>Highlands and Islands Enterprise</w:t>
      </w:r>
    </w:p>
    <w:p>
      <w:pPr>
        <w:pStyle w:val="Heading 3"/>
      </w:pPr>
      <w:r>
        <w:rPr>
          <w:outline w:val="0"/>
          <w:color w:val="000000"/>
          <w:sz w:val="22"/>
          <w:szCs w:val="22"/>
          <w:u w:color="000000"/>
          <w:rtl w:val="0"/>
          <w:lang w:val="en-US"/>
          <w14:textFill>
            <w14:solidFill>
              <w14:srgbClr w14:val="000000"/>
            </w14:solidFill>
          </w14:textFill>
        </w:rPr>
        <w:t>Historic Environment Scotland (HES)</w:t>
      </w:r>
    </w:p>
    <w:p>
      <w:pPr>
        <w:pStyle w:val="Heading 3"/>
      </w:pPr>
      <w:r>
        <w:rPr>
          <w:outline w:val="0"/>
          <w:color w:val="000000"/>
          <w:sz w:val="22"/>
          <w:szCs w:val="22"/>
          <w:u w:color="000000"/>
          <w:rtl w:val="0"/>
          <w:lang w:val="en-US"/>
          <w14:textFill>
            <w14:solidFill>
              <w14:srgbClr w14:val="000000"/>
            </w14:solidFill>
          </w14:textFill>
        </w:rPr>
        <w:t>Scottish Environment Protection Agency (SEPA)</w:t>
      </w:r>
    </w:p>
    <w:p>
      <w:pPr>
        <w:pStyle w:val="Heading 3"/>
      </w:pPr>
      <w:r>
        <w:rPr>
          <w:outline w:val="0"/>
          <w:color w:val="000000"/>
          <w:sz w:val="22"/>
          <w:szCs w:val="22"/>
          <w:u w:color="000000"/>
          <w:rtl w:val="0"/>
          <w:lang w:val="en-US"/>
          <w14:textFill>
            <w14:solidFill>
              <w14:srgbClr w14:val="000000"/>
            </w14:solidFill>
          </w14:textFill>
        </w:rPr>
        <w:t>NatureScot (formerly Scottish Natural Heritage)</w:t>
      </w:r>
    </w:p>
    <w:p>
      <w:pPr>
        <w:pStyle w:val="Heading 3"/>
      </w:pPr>
      <w:r>
        <w:rPr>
          <w:outline w:val="0"/>
          <w:color w:val="000000"/>
          <w:sz w:val="22"/>
          <w:szCs w:val="22"/>
          <w:u w:color="000000"/>
          <w:rtl w:val="0"/>
          <w:lang w:val="en-US"/>
          <w14:textFill>
            <w14:solidFill>
              <w14:srgbClr w14:val="000000"/>
            </w14:solidFill>
          </w14:textFill>
        </w:rPr>
        <w:t>Scottish Water</w:t>
      </w:r>
    </w:p>
    <w:p>
      <w:pPr>
        <w:pStyle w:val="Heading 3"/>
        <w:rPr>
          <w:lang w:val="da-DK"/>
        </w:rPr>
      </w:pPr>
      <w:r>
        <w:rPr>
          <w:outline w:val="0"/>
          <w:color w:val="000000"/>
          <w:sz w:val="22"/>
          <w:szCs w:val="22"/>
          <w:u w:color="000000"/>
          <w:rtl w:val="0"/>
          <w:lang w:val="da-DK"/>
          <w14:textFill>
            <w14:solidFill>
              <w14:srgbClr w14:val="000000"/>
            </w14:solidFill>
          </w14:textFill>
        </w:rPr>
        <w:t>ZetTrans</w:t>
      </w:r>
    </w:p>
    <w:p>
      <w:pPr>
        <w:pStyle w:val="Heading 3"/>
      </w:pPr>
      <w:r>
        <w:rPr>
          <w:outline w:val="0"/>
          <w:color w:val="000000"/>
          <w:sz w:val="22"/>
          <w:szCs w:val="22"/>
          <w:u w:color="000000"/>
          <w:rtl w:val="0"/>
          <w:lang w:val="en-US"/>
          <w14:textFill>
            <w14:solidFill>
              <w14:srgbClr w14:val="000000"/>
            </w14:solidFill>
          </w14:textFill>
        </w:rPr>
        <w:t>Crofters Commission</w:t>
      </w:r>
    </w:p>
    <w:p>
      <w:pPr>
        <w:pStyle w:val="Heading 3"/>
        <w:rPr>
          <w:lang w:val="de-DE"/>
        </w:rPr>
      </w:pPr>
      <w:r>
        <w:rPr>
          <w:outline w:val="0"/>
          <w:color w:val="000000"/>
          <w:sz w:val="22"/>
          <w:szCs w:val="22"/>
          <w:u w:color="000000"/>
          <w:rtl w:val="0"/>
          <w:lang w:val="de-DE"/>
          <w14:textFill>
            <w14:solidFill>
              <w14:srgbClr w14:val="000000"/>
            </w14:solidFill>
          </w14:textFill>
        </w:rPr>
        <w:t>Sport Scotland</w:t>
      </w:r>
    </w:p>
    <w:p>
      <w:pPr>
        <w:pStyle w:val="Heading 3"/>
      </w:pPr>
    </w:p>
    <w:p>
      <w:pPr>
        <w:pStyle w:val="Heading 3"/>
      </w:pPr>
      <w:r>
        <w:rPr>
          <w:outline w:val="0"/>
          <w:color w:val="444444"/>
          <w:u w:color="444444"/>
          <w:rtl w:val="0"/>
          <w:lang w:val="en-US"/>
          <w14:textFill>
            <w14:solidFill>
              <w14:srgbClr w14:val="444444"/>
            </w14:solidFill>
          </w14:textFill>
        </w:rPr>
        <w:t>Others</w:t>
      </w:r>
    </w:p>
    <w:p>
      <w:pPr>
        <w:pStyle w:val="Heading 3"/>
      </w:pPr>
      <w:r>
        <w:rPr>
          <w:outline w:val="0"/>
          <w:color w:val="000000"/>
          <w:sz w:val="22"/>
          <w:szCs w:val="22"/>
          <w:u w:color="000000"/>
          <w:rtl w:val="0"/>
          <w:lang w:val="en-US"/>
          <w14:textFill>
            <w14:solidFill>
              <w14:srgbClr w14:val="000000"/>
            </w14:solidFill>
          </w14:textFill>
        </w:rPr>
        <w:t>Hjaltland Housing Association</w:t>
      </w:r>
    </w:p>
    <w:p>
      <w:pPr>
        <w:pStyle w:val="Heading 3"/>
      </w:pPr>
      <w:r>
        <w:rPr>
          <w:outline w:val="0"/>
          <w:color w:val="000000"/>
          <w:sz w:val="22"/>
          <w:szCs w:val="22"/>
          <w:u w:color="000000"/>
          <w:rtl w:val="0"/>
          <w:lang w:val="en-US"/>
          <w14:textFill>
            <w14:solidFill>
              <w14:srgbClr w14:val="000000"/>
            </w14:solidFill>
          </w14:textFill>
        </w:rPr>
        <w:t>Voluntary Action Shetland</w:t>
      </w:r>
    </w:p>
    <w:p>
      <w:pPr>
        <w:pStyle w:val="Heading 3"/>
      </w:pPr>
    </w:p>
    <w:p>
      <w:pPr>
        <w:pStyle w:val="Heading 2"/>
      </w:pPr>
      <w:r>
        <w:rPr>
          <w:rtl w:val="0"/>
        </w:rPr>
        <w:t>Appendix D: Supporting Documents</w:t>
      </w:r>
    </w:p>
    <w:p>
      <w:pPr>
        <w:pStyle w:val="Heading 2"/>
        <w:rPr>
          <w:lang w:val="en-US"/>
        </w:rPr>
      </w:pPr>
      <w:r>
        <w:rPr>
          <w:outline w:val="0"/>
          <w:color w:val="000000"/>
          <w:sz w:val="22"/>
          <w:szCs w:val="22"/>
          <w:u w:color="000000"/>
          <w:rtl w:val="0"/>
          <w:lang w:val="en-US"/>
          <w14:textFill>
            <w14:solidFill>
              <w14:srgbClr w14:val="000000"/>
            </w14:solidFill>
          </w14:textFill>
        </w:rPr>
        <w:t>The following documents form part of the evidence base for this Local Place Plan and are available on the Shetland Islands Council planning website:</w:t>
      </w:r>
    </w:p>
    <w:p>
      <w:pPr>
        <w:pStyle w:val="List Paragraph"/>
        <w:numPr>
          <w:ilvl w:val="0"/>
          <w:numId w:val="6"/>
        </w:numPr>
        <w:bidi w:val="0"/>
        <w:spacing w:after="80"/>
        <w:ind w:right="0"/>
        <w:jc w:val="left"/>
        <w:rPr>
          <w:sz w:val="22"/>
          <w:szCs w:val="22"/>
          <w:rtl w:val="0"/>
          <w:lang w:val="en-US"/>
        </w:rPr>
      </w:pPr>
      <w:r>
        <w:rPr>
          <w:rFonts w:ascii="Arial" w:hAnsi="Arial"/>
          <w:outline w:val="0"/>
          <w:color w:val="000000"/>
          <w:sz w:val="22"/>
          <w:szCs w:val="22"/>
          <w:u w:color="000000"/>
          <w:rtl w:val="0"/>
          <w:lang w:val="en-US"/>
          <w14:textFill>
            <w14:solidFill>
              <w14:srgbClr w14:val="000000"/>
            </w14:solidFill>
          </w14:textFill>
        </w:rPr>
        <w:t>Re-Create Scalloway Spatial Vision (May 2019)</w:t>
      </w:r>
    </w:p>
    <w:p>
      <w:pPr>
        <w:pStyle w:val="List Paragraph"/>
        <w:numPr>
          <w:ilvl w:val="0"/>
          <w:numId w:val="6"/>
        </w:numPr>
        <w:bidi w:val="0"/>
        <w:spacing w:after="80"/>
        <w:ind w:right="0"/>
        <w:jc w:val="left"/>
        <w:rPr>
          <w:sz w:val="22"/>
          <w:szCs w:val="22"/>
          <w:rtl w:val="0"/>
          <w:lang w:val="en-US"/>
        </w:rPr>
      </w:pPr>
      <w:r>
        <w:rPr>
          <w:rFonts w:ascii="Arial" w:hAnsi="Arial"/>
          <w:outline w:val="0"/>
          <w:color w:val="000000"/>
          <w:sz w:val="22"/>
          <w:szCs w:val="22"/>
          <w:u w:color="000000"/>
          <w:rtl w:val="0"/>
          <w:lang w:val="en-US"/>
          <w14:textFill>
            <w14:solidFill>
              <w14:srgbClr w14:val="000000"/>
            </w14:solidFill>
          </w14:textFill>
        </w:rPr>
        <w:t>Re-Create Scalloway Action Plan (May 2019)</w:t>
      </w:r>
    </w:p>
    <w:p>
      <w:pPr>
        <w:pStyle w:val="List Paragraph"/>
        <w:numPr>
          <w:ilvl w:val="0"/>
          <w:numId w:val="6"/>
        </w:numPr>
        <w:bidi w:val="0"/>
        <w:spacing w:after="80"/>
        <w:ind w:right="0"/>
        <w:jc w:val="left"/>
        <w:rPr>
          <w:sz w:val="22"/>
          <w:szCs w:val="22"/>
          <w:rtl w:val="0"/>
          <w:lang w:val="en-US"/>
        </w:rPr>
      </w:pPr>
      <w:r>
        <w:rPr>
          <w:rFonts w:ascii="Arial" w:hAnsi="Arial"/>
          <w:outline w:val="0"/>
          <w:color w:val="000000"/>
          <w:sz w:val="22"/>
          <w:szCs w:val="22"/>
          <w:u w:color="000000"/>
          <w:rtl w:val="0"/>
          <w:lang w:val="en-US"/>
          <w14:textFill>
            <w14:solidFill>
              <w14:srgbClr w14:val="000000"/>
            </w14:solidFill>
          </w14:textFill>
        </w:rPr>
        <w:t>Destination Scalloway Masterplan (2022)</w:t>
      </w:r>
    </w:p>
    <w:p>
      <w:pPr>
        <w:pStyle w:val="Heading 2"/>
      </w:pPr>
      <w:r>
        <w:rPr>
          <w:rtl w:val="0"/>
          <w:lang w:val="en-US"/>
        </w:rPr>
        <w:t>Appendix E: Scalloway LPP v1 Endorsement</w:t>
      </w:r>
    </w:p>
    <w:p>
      <w:pPr>
        <w:pStyle w:val="Heading 3"/>
        <w:rPr>
          <w:rFonts w:ascii="Helvetica Neue" w:cs="Helvetica Neue" w:hAnsi="Helvetica Neue" w:eastAsia="Helvetica Neue"/>
        </w:rPr>
      </w:pPr>
      <w:r>
        <w:rPr>
          <w:rFonts w:ascii="Helvetica Neue" w:hAnsi="Helvetica Neue"/>
          <w:rtl w:val="0"/>
          <w:lang w:val="fr-FR"/>
        </w:rPr>
        <w:t xml:space="preserve">Endorsement </w:t>
      </w:r>
      <w:r>
        <w:rPr>
          <w:rFonts w:ascii="Helvetica Neue" w:hAnsi="Helvetica Neue"/>
          <w:rtl w:val="0"/>
          <w:lang w:val="en-US"/>
        </w:rPr>
        <w:t xml:space="preserve">of Scalloway LPP v1 by Councillor Alistair Cooper </w:t>
      </w:r>
    </w:p>
    <w:p>
      <w:pPr>
        <w:pStyle w:val="Body"/>
      </w:pPr>
      <w:r>
        <w:rPr>
          <w:rtl w:val="0"/>
        </w:rPr>
        <w:t>I am pleased to present the first Local Place Plan to be prepared in Shetland. This is the outcome of hard work and commitment by the Scalloway Community Council working alongside their community, Council services and all those with an interest in the future of Scalloway.</w:t>
      </w:r>
    </w:p>
    <w:p>
      <w:pPr>
        <w:pStyle w:val="Body"/>
      </w:pPr>
      <w:r>
        <w:rPr>
          <w:rtl w:val="0"/>
        </w:rPr>
        <w:t xml:space="preserve">The Scalloway Local Place Plan has been prepared by Scalloway Community Council following the outcomes of the </w:t>
      </w:r>
      <w:r>
        <w:rPr>
          <w:rtl w:val="1"/>
        </w:rPr>
        <w:t>‘</w:t>
      </w:r>
      <w:r>
        <w:rPr>
          <w:rtl w:val="0"/>
        </w:rPr>
        <w:t>Re-Create Scalloway</w:t>
      </w:r>
      <w:r>
        <w:rPr>
          <w:rtl w:val="1"/>
        </w:rPr>
        <w:t xml:space="preserve">’ </w:t>
      </w:r>
      <w:r>
        <w:rPr>
          <w:rtl w:val="0"/>
        </w:rPr>
        <w:t>consultation and workshops that took place during 2018.</w:t>
      </w:r>
    </w:p>
    <w:p>
      <w:pPr>
        <w:pStyle w:val="Body"/>
      </w:pPr>
      <w:r>
        <w:rPr>
          <w:rtl w:val="0"/>
        </w:rPr>
        <w:t>The Scalloway Community has been the driver behind this work and this is very much a plan for the people of Scalloway. Their involvement in Re-Create Scalloway has helped guide how the village can develop in the future and ensure that it continues to be an attractive place to live, work, study, play and invest.</w:t>
      </w:r>
    </w:p>
    <w:p>
      <w:pPr>
        <w:pStyle w:val="Body"/>
      </w:pPr>
      <w:r>
        <w:rPr>
          <w:rtl w:val="0"/>
        </w:rPr>
        <w:t>To help achieve this, the Scalloway Local Place Plan sets out a future vision for how the village could be improved and the actions required to help achieve this.</w:t>
      </w:r>
    </w:p>
    <w:p>
      <w:pPr>
        <w:pStyle w:val="Body"/>
      </w:pPr>
      <w:r>
        <w:rPr>
          <w:rtl w:val="0"/>
        </w:rPr>
        <w:t>The community working together has been the key to success so far and I hope this continues to act as a benchmark for future engagement in planning and community planning in Shetland.</w:t>
      </w:r>
    </w:p>
    <w:p>
      <w:pPr>
        <w:pStyle w:val="Body"/>
      </w:pPr>
    </w:p>
    <w:p>
      <w:pPr>
        <w:pStyle w:val="Body"/>
      </w:pPr>
      <w:r>
        <w:rPr>
          <w:rtl w:val="0"/>
        </w:rPr>
        <w:t>Alastair Cooper</w:t>
      </w:r>
    </w:p>
    <w:p>
      <w:pPr>
        <w:pStyle w:val="Body"/>
      </w:pPr>
      <w:r>
        <w:rPr>
          <w:rtl w:val="0"/>
        </w:rPr>
        <w:t>Councillor, Shetland Islands Council</w:t>
      </w:r>
    </w:p>
    <w:p>
      <w:pPr>
        <w:pStyle w:val="Body"/>
      </w:pPr>
    </w:p>
    <w:p>
      <w:pPr>
        <w:pStyle w:val="Body"/>
      </w:pPr>
    </w:p>
    <w:p>
      <w:pPr>
        <w:pStyle w:val="Caption"/>
        <w:bidi w:val="0"/>
      </w:pPr>
      <w:r>
        <w:rPr>
          <w:rFonts w:ascii="Arial" w:hAnsi="Arial"/>
          <w:outline w:val="0"/>
          <w:color w:val="444444"/>
          <w:sz w:val="22"/>
          <w:szCs w:val="22"/>
          <w:u w:color="444444"/>
          <w:rtl w:val="0"/>
          <w:lang w:val="en-US"/>
          <w14:textFill>
            <w14:solidFill>
              <w14:srgbClr w14:val="444444"/>
            </w14:solidFill>
          </w14:textFill>
        </w:rPr>
        <w:t>This document is a draft and subject to further refinement and community verification prior to submission to Shetland Islands Council.</w:t>
      </w:r>
    </w:p>
    <w:sectPr>
      <w:headerReference w:type="default" r:id="rId29"/>
      <w:footerReference w:type="default" r:id="rId30"/>
      <w:pgSz w:w="11900" w:h="16840" w:orient="portrait"/>
      <w:pgMar w:top="1080" w:right="1080" w:bottom="1080" w:left="126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Neue Light">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pPr>
    <w:r>
      <w:rPr>
        <w:rFonts w:ascii="Arial" w:cs="Arial" w:hAnsi="Arial" w:eastAsia="Arial"/>
        <w:outline w:val="0"/>
        <w:color w:val="444444"/>
        <w:sz w:val="18"/>
        <w:szCs w:val="18"/>
        <w:u w:color="444444"/>
        <w:lang w:val="de-DE"/>
        <w14:textFill>
          <w14:solidFill>
            <w14:srgbClr w14:val="444444"/>
          </w14:solidFill>
        </w14:textFill>
      </w:rPr>
      <w:drawing xmlns:a="http://schemas.openxmlformats.org/drawingml/2006/main">
        <wp:inline distT="0" distB="0" distL="0" distR="0">
          <wp:extent cx="1868518" cy="707007"/>
          <wp:effectExtent l="0" t="0" r="0" b="0"/>
          <wp:docPr id="1073741825" name="officeArt object" descr="page1image146880.png"/>
          <wp:cNvGraphicFramePr/>
          <a:graphic xmlns:a="http://schemas.openxmlformats.org/drawingml/2006/main">
            <a:graphicData uri="http://schemas.openxmlformats.org/drawingml/2006/picture">
              <pic:pic xmlns:pic="http://schemas.openxmlformats.org/drawingml/2006/picture">
                <pic:nvPicPr>
                  <pic:cNvPr id="1073741825" name="page1image146880.png" descr="page1image146880.png"/>
                  <pic:cNvPicPr>
                    <a:picLocks noChangeAspect="1"/>
                  </pic:cNvPicPr>
                </pic:nvPicPr>
                <pic:blipFill>
                  <a:blip r:embed="rId1">
                    <a:extLst/>
                  </a:blip>
                  <a:stretch>
                    <a:fillRect/>
                  </a:stretch>
                </pic:blipFill>
                <pic:spPr>
                  <a:xfrm>
                    <a:off x="0" y="0"/>
                    <a:ext cx="1868518" cy="707007"/>
                  </a:xfrm>
                  <a:prstGeom prst="rect">
                    <a:avLst/>
                  </a:prstGeom>
                  <a:ln w="12700" cap="flat">
                    <a:noFill/>
                    <a:miter lim="400000"/>
                  </a:ln>
                  <a:effectLst/>
                </pic:spPr>
              </pic:pic>
            </a:graphicData>
          </a:graphic>
        </wp:inline>
      </w:drawing>
    </w:r>
    <w:r>
      <w:rPr>
        <w:rFonts w:ascii="Arial" w:hAnsi="Arial"/>
        <w:outline w:val="0"/>
        <w:color w:val="444444"/>
        <w:sz w:val="18"/>
        <w:szCs w:val="18"/>
        <w:u w:color="444444"/>
        <w:rtl w:val="0"/>
        <w:lang w:val="en-US"/>
        <w14:textFill>
          <w14:solidFill>
            <w14:srgbClr w14:val="444444"/>
          </w14:solidFill>
        </w14:textFill>
      </w:rPr>
      <w:t xml:space="preserve">                            </w:t>
    </w:r>
    <w:r>
      <w:rPr>
        <w:rFonts w:ascii="Arial" w:cs="Arial" w:hAnsi="Arial" w:eastAsia="Arial"/>
        <w:outline w:val="0"/>
        <w:color w:val="444444"/>
        <w:sz w:val="18"/>
        <w:szCs w:val="18"/>
        <w:u w:color="444444"/>
        <w:lang w:val="de-DE"/>
        <w14:textFill>
          <w14:solidFill>
            <w14:srgbClr w14:val="444444"/>
          </w14:solidFill>
        </w14:textFill>
      </w:rPr>
      <w:drawing xmlns:a="http://schemas.openxmlformats.org/drawingml/2006/main">
        <wp:inline distT="0" distB="0" distL="0" distR="0">
          <wp:extent cx="1284303" cy="639866"/>
          <wp:effectExtent l="0" t="0" r="0" b="0"/>
          <wp:docPr id="1073741826" name="officeArt object" descr="page1image147088.jpg"/>
          <wp:cNvGraphicFramePr/>
          <a:graphic xmlns:a="http://schemas.openxmlformats.org/drawingml/2006/main">
            <a:graphicData uri="http://schemas.openxmlformats.org/drawingml/2006/picture">
              <pic:pic xmlns:pic="http://schemas.openxmlformats.org/drawingml/2006/picture">
                <pic:nvPicPr>
                  <pic:cNvPr id="1073741826" name="page1image147088.jpg" descr="page1image147088.jpg"/>
                  <pic:cNvPicPr>
                    <a:picLocks noChangeAspect="1"/>
                  </pic:cNvPicPr>
                </pic:nvPicPr>
                <pic:blipFill>
                  <a:blip r:embed="rId2">
                    <a:extLst/>
                  </a:blip>
                  <a:stretch>
                    <a:fillRect/>
                  </a:stretch>
                </pic:blipFill>
                <pic:spPr>
                  <a:xfrm>
                    <a:off x="0" y="0"/>
                    <a:ext cx="1284303" cy="639866"/>
                  </a:xfrm>
                  <a:prstGeom prst="rect">
                    <a:avLst/>
                  </a:prstGeom>
                  <a:ln w="12700" cap="flat">
                    <a:noFill/>
                    <a:miter lim="400000"/>
                  </a:ln>
                  <a:effectLst/>
                </pic:spPr>
              </pic:pic>
            </a:graphicData>
          </a:graphic>
        </wp:inline>
      </w:drawing>
    </w:r>
    <w:r>
      <w:rPr>
        <w:rFonts w:ascii="Arial" w:hAnsi="Arial"/>
        <w:outline w:val="0"/>
        <w:color w:val="444444"/>
        <w:sz w:val="18"/>
        <w:szCs w:val="18"/>
        <w:u w:color="444444"/>
        <w:rtl w:val="0"/>
        <w:lang w:val="en-US"/>
        <w14:textFill>
          <w14:solidFill>
            <w14:srgbClr w14:val="444444"/>
          </w14:solidFill>
        </w14:textFill>
      </w:rPr>
      <w:t xml:space="preserve">                         </w:t>
    </w:r>
    <w:r>
      <w:rPr>
        <w:rFonts w:ascii="Arial" w:cs="Arial" w:hAnsi="Arial" w:eastAsia="Arial"/>
        <w:outline w:val="0"/>
        <w:color w:val="444444"/>
        <w:sz w:val="18"/>
        <w:szCs w:val="18"/>
        <w:u w:color="444444"/>
        <w:lang w:val="de-DE"/>
        <w14:textFill>
          <w14:solidFill>
            <w14:srgbClr w14:val="444444"/>
          </w14:solidFill>
        </w14:textFill>
      </w:rPr>
      <w:drawing xmlns:a="http://schemas.openxmlformats.org/drawingml/2006/main">
        <wp:inline distT="0" distB="0" distL="0" distR="0">
          <wp:extent cx="1213156" cy="715712"/>
          <wp:effectExtent l="0" t="0" r="0" b="0"/>
          <wp:docPr id="1073741827" name="officeArt object" descr="page1image145216.png"/>
          <wp:cNvGraphicFramePr/>
          <a:graphic xmlns:a="http://schemas.openxmlformats.org/drawingml/2006/main">
            <a:graphicData uri="http://schemas.openxmlformats.org/drawingml/2006/picture">
              <pic:pic xmlns:pic="http://schemas.openxmlformats.org/drawingml/2006/picture">
                <pic:nvPicPr>
                  <pic:cNvPr id="1073741827" name="page1image145216.png" descr="page1image145216.png"/>
                  <pic:cNvPicPr>
                    <a:picLocks noChangeAspect="1"/>
                  </pic:cNvPicPr>
                </pic:nvPicPr>
                <pic:blipFill>
                  <a:blip r:embed="rId3">
                    <a:extLst/>
                  </a:blip>
                  <a:stretch>
                    <a:fillRect/>
                  </a:stretch>
                </pic:blipFill>
                <pic:spPr>
                  <a:xfrm>
                    <a:off x="0" y="0"/>
                    <a:ext cx="1213156" cy="715712"/>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pPr>
    <w:r>
      <w:rPr>
        <w:rFonts w:ascii="Arial" w:hAnsi="Arial"/>
        <w:outline w:val="0"/>
        <w:color w:val="444444"/>
        <w:sz w:val="18"/>
        <w:szCs w:val="18"/>
        <w:u w:color="444444"/>
        <w:rtl w:val="0"/>
        <w:lang w:val="de-DE"/>
        <w14:textFill>
          <w14:solidFill>
            <w14:srgbClr w14:val="444444"/>
          </w14:solidFill>
        </w14:textFill>
      </w:rPr>
      <w:t xml:space="preserve">Scalloway Local Place Plan  |  Version </w:t>
    </w:r>
    <w:r>
      <w:rPr>
        <w:rFonts w:ascii="Arial" w:hAnsi="Arial"/>
        <w:outline w:val="0"/>
        <w:color w:val="444444"/>
        <w:sz w:val="18"/>
        <w:szCs w:val="18"/>
        <w:u w:color="444444"/>
        <w:rtl w:val="0"/>
        <w:lang w:val="en-US"/>
        <w14:textFill>
          <w14:solidFill>
            <w14:srgbClr w14:val="444444"/>
          </w14:solidFill>
        </w14:textFill>
      </w:rPr>
      <w:t>2</w:t>
    </w:r>
    <w:r>
      <w:rPr>
        <w:rFonts w:ascii="Arial" w:hAnsi="Arial"/>
        <w:outline w:val="0"/>
        <w:color w:val="444444"/>
        <w:sz w:val="18"/>
        <w:szCs w:val="18"/>
        <w:u w:color="444444"/>
        <w:rtl w:val="0"/>
        <w:lang w:val="de-DE"/>
        <w14:textFill>
          <w14:solidFill>
            <w14:srgbClr w14:val="444444"/>
          </w14:solidFill>
        </w14:textFill>
      </w:rPr>
      <w:t>/ 202</w:t>
    </w:r>
    <w:r>
      <w:rPr>
        <w:rFonts w:ascii="Arial" w:hAnsi="Arial"/>
        <w:outline w:val="0"/>
        <w:color w:val="444444"/>
        <w:sz w:val="18"/>
        <w:szCs w:val="18"/>
        <w:u w:color="444444"/>
        <w:rtl w:val="0"/>
        <w:lang w:val="en-US"/>
        <w14:textFill>
          <w14:solidFill>
            <w14:srgbClr w14:val="444444"/>
          </w14:solidFill>
        </w14:textFill>
      </w:rPr>
      <w:t>6</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17" w:hanging="357"/>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start w:val="1"/>
      <w:numFmt w:val="bullet"/>
      <w:suff w:val="tab"/>
      <w:lvlText w:val="◦"/>
      <w:lvlJc w:val="left"/>
      <w:pPr>
        <w:ind w:left="1077" w:hanging="357"/>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start w:val="1"/>
      <w:numFmt w:val="bullet"/>
      <w:suff w:val="tab"/>
      <w:lvlText w:val="◦"/>
      <w:lvlJc w:val="left"/>
      <w:pPr>
        <w:ind w:left="1077" w:hanging="357"/>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start w:val="1"/>
      <w:numFmt w:val="bullet"/>
      <w:suff w:val="tab"/>
      <w:lvlText w:val="◦"/>
      <w:lvlJc w:val="left"/>
      <w:pPr>
        <w:ind w:left="1077" w:hanging="357"/>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start w:val="1"/>
      <w:numFmt w:val="bullet"/>
      <w:suff w:val="tab"/>
      <w:lvlText w:val="◦"/>
      <w:lvlJc w:val="left"/>
      <w:pPr>
        <w:ind w:left="1077" w:hanging="357"/>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start w:val="1"/>
      <w:numFmt w:val="bullet"/>
      <w:suff w:val="tab"/>
      <w:lvlText w:val="◦"/>
      <w:lvlJc w:val="left"/>
      <w:pPr>
        <w:ind w:left="1077" w:hanging="357"/>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start w:val="1"/>
      <w:numFmt w:val="bullet"/>
      <w:suff w:val="tab"/>
      <w:lvlText w:val="◦"/>
      <w:lvlJc w:val="left"/>
      <w:pPr>
        <w:ind w:left="1077" w:hanging="357"/>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start w:val="1"/>
      <w:numFmt w:val="bullet"/>
      <w:suff w:val="tab"/>
      <w:lvlText w:val="◦"/>
      <w:lvlJc w:val="left"/>
      <w:pPr>
        <w:ind w:left="1077" w:hanging="357"/>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start w:val="1"/>
      <w:numFmt w:val="bullet"/>
      <w:suff w:val="tab"/>
      <w:lvlText w:val="◦"/>
      <w:lvlJc w:val="left"/>
      <w:pPr>
        <w:ind w:left="1077" w:hanging="357"/>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2">
    <w:multiLevelType w:val="hybridMultilevel"/>
    <w:numStyleLink w:val="Bullets"/>
  </w:abstractNum>
  <w:abstractNum w:abstractNumId="3">
    <w:multiLevelType w:val="hybridMultilevel"/>
    <w:styleLink w:val="Bullets"/>
    <w:lvl w:ilvl="0">
      <w:start w:val="1"/>
      <w:numFmt w:val="bullet"/>
      <w:suff w:val="tab"/>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Numbered"/>
  </w:abstractNum>
  <w:abstractNum w:abstractNumId="5">
    <w:multiLevelType w:val="hybridMultilevel"/>
    <w:styleLink w:val="Numbered"/>
    <w:lvl w:ilvl="0">
      <w:start w:val="1"/>
      <w:numFmt w:val="decimal"/>
      <w:suff w:val="tab"/>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Bullet"/>
  </w:abstractNum>
  <w:abstractNum w:abstractNumId="7">
    <w:multiLevelType w:val="hybridMultilevel"/>
    <w:styleLink w:val="Bullet"/>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 w:numId="3">
    <w:abstractNumId w:val="3"/>
  </w:num>
  <w:num w:numId="4">
    <w:abstractNumId w:val="2"/>
  </w:num>
  <w:num w:numId="5">
    <w:abstractNumId w:val="2"/>
    <w:lvlOverride w:ilvl="0">
      <w:lvl w:ilvl="0">
        <w:start w:val="1"/>
        <w:numFmt w:val="bullet"/>
        <w:suff w:val="tab"/>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0"/>
    <w:lvlOverride w:ilvl="0">
      <w:lvl w:ilvl="0">
        <w:start w:val="1"/>
        <w:numFmt w:val="bullet"/>
        <w:suff w:val="tab"/>
        <w:lvlText w:val="•"/>
        <w:lvlJc w:val="left"/>
        <w:pPr>
          <w:ind w:left="687" w:hanging="327"/>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start w:val="1"/>
        <w:numFmt w:val="bullet"/>
        <w:suff w:val="tab"/>
        <w:lvlText w:val="◦"/>
        <w:lvlJc w:val="left"/>
        <w:pPr>
          <w:ind w:left="1047" w:hanging="327"/>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start w:val="1"/>
        <w:numFmt w:val="bullet"/>
        <w:suff w:val="tab"/>
        <w:lvlText w:val="◦"/>
        <w:lvlJc w:val="left"/>
        <w:pPr>
          <w:ind w:left="1047" w:hanging="327"/>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start w:val="1"/>
        <w:numFmt w:val="bullet"/>
        <w:suff w:val="tab"/>
        <w:lvlText w:val="◦"/>
        <w:lvlJc w:val="left"/>
        <w:pPr>
          <w:ind w:left="1047" w:hanging="327"/>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start w:val="1"/>
        <w:numFmt w:val="bullet"/>
        <w:suff w:val="tab"/>
        <w:lvlText w:val="◦"/>
        <w:lvlJc w:val="left"/>
        <w:pPr>
          <w:ind w:left="1047" w:hanging="327"/>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start w:val="1"/>
        <w:numFmt w:val="bullet"/>
        <w:suff w:val="tab"/>
        <w:lvlText w:val="◦"/>
        <w:lvlJc w:val="left"/>
        <w:pPr>
          <w:ind w:left="1047" w:hanging="327"/>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start w:val="1"/>
        <w:numFmt w:val="bullet"/>
        <w:suff w:val="tab"/>
        <w:lvlText w:val="◦"/>
        <w:lvlJc w:val="left"/>
        <w:pPr>
          <w:ind w:left="1047" w:hanging="327"/>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start w:val="1"/>
        <w:numFmt w:val="bullet"/>
        <w:suff w:val="tab"/>
        <w:lvlText w:val="◦"/>
        <w:lvlJc w:val="left"/>
        <w:pPr>
          <w:ind w:left="1047" w:hanging="327"/>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start w:val="1"/>
        <w:numFmt w:val="bullet"/>
        <w:suff w:val="tab"/>
        <w:lvlText w:val="◦"/>
        <w:lvlJc w:val="left"/>
        <w:pPr>
          <w:ind w:left="1047" w:hanging="327"/>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 w:numId="7">
    <w:abstractNumId w:val="5"/>
  </w:num>
  <w:num w:numId="8">
    <w:abstractNumId w:val="4"/>
  </w:num>
  <w:num w:numId="9">
    <w:abstractNumId w:val="4"/>
    <w:lvlOverride w:ilvl="0">
      <w:lvl w:ilvl="0">
        <w:start w:val="1"/>
        <w:numFmt w:val="decimal"/>
        <w:suff w:val="tab"/>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abstractNumId w:val="4"/>
    <w:lvlOverride w:ilvl="0">
      <w:startOverride w:val="1"/>
    </w:lvlOverride>
  </w:num>
  <w:num w:numId="11">
    <w:abstractNumId w:val="4"/>
    <w:lvlOverride w:ilvl="0">
      <w:lvl w:ilvl="0">
        <w:start w:val="1"/>
        <w:numFmt w:val="decimal"/>
        <w:suff w:val="tab"/>
        <w:lvlText w:val="%1."/>
        <w:lvlJc w:val="left"/>
        <w:pPr>
          <w:ind w:left="253" w:hanging="25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ind w:left="1053" w:hanging="25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1853" w:hanging="25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653" w:hanging="25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3453" w:hanging="25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4253" w:hanging="25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5053" w:hanging="25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5853" w:hanging="25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6653" w:hanging="25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 w:numId="12">
    <w:abstractNumId w:val="4"/>
    <w:lvlOverride w:ilvl="0">
      <w:startOverride w:val="1"/>
    </w:lvlOverride>
  </w:num>
  <w:num w:numId="13">
    <w:abstractNumId w:val="4"/>
    <w:lvlOverride w:ilvl="0">
      <w:startOverride w:val="1"/>
    </w:lvlOverride>
  </w:num>
  <w:num w:numId="14">
    <w:abstractNumId w:val="7"/>
  </w:num>
  <w:num w:numId="15">
    <w:abstractNumId w:val="6"/>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de-DE"/>
      <w14:textOutline w14:w="12700" w14:cap="flat">
        <w14:noFill/>
        <w14:miter w14:lim="400000"/>
      </w14:textOutline>
      <w14:textFill>
        <w14:solidFill>
          <w14:srgbClr w14:val="000000"/>
        </w14:solidFill>
      </w14:textFill>
    </w:rPr>
  </w:style>
  <w:style w:type="paragraph" w:styleId="Title">
    <w:name w:val="Title"/>
    <w:next w:val="Body"/>
    <w:pPr>
      <w:keepNext w:val="1"/>
      <w:keepLines w:val="0"/>
      <w:pageBreakBefore w:val="0"/>
      <w:widowControl w:val="1"/>
      <w:shd w:val="clear" w:color="auto" w:fill="auto"/>
      <w:suppressAutoHyphens w:val="0"/>
      <w:bidi w:val="0"/>
      <w:spacing w:before="0" w:after="0" w:line="240" w:lineRule="auto"/>
      <w:ind w:left="0" w:right="0" w:firstLine="0"/>
      <w:jc w:val="center"/>
      <w:outlineLvl w:val="9"/>
    </w:pPr>
    <w:rPr>
      <w:rFonts w:ascii="Arial" w:cs="Arial Unicode MS" w:hAnsi="Arial" w:eastAsia="Arial Unicode MS"/>
      <w:b w:val="1"/>
      <w:bCs w:val="1"/>
      <w:i w:val="0"/>
      <w:iCs w:val="0"/>
      <w:caps w:val="0"/>
      <w:smallCaps w:val="0"/>
      <w:strike w:val="0"/>
      <w:dstrike w:val="0"/>
      <w:outline w:val="0"/>
      <w:color w:val="1f6b75"/>
      <w:spacing w:val="0"/>
      <w:kern w:val="0"/>
      <w:position w:val="0"/>
      <w:sz w:val="72"/>
      <w:szCs w:val="72"/>
      <w:u w:val="none" w:color="1f6b75"/>
      <w:shd w:val="nil" w:color="auto" w:fill="auto"/>
      <w:vertAlign w:val="baseline"/>
      <w:lang w:val="en-US"/>
      <w14:textOutline>
        <w14:noFill/>
      </w14:textOutline>
      <w14:textFill>
        <w14:solidFill>
          <w14:srgbClr w14:val="1F6B75"/>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Subtitle">
    <w:name w:val="Subtitle"/>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40"/>
      <w:szCs w:val="40"/>
      <w:u w:val="none"/>
      <w:shd w:val="nil" w:color="auto" w:fill="auto"/>
      <w:vertAlign w:val="baseline"/>
      <w:lang w:val="en-US"/>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eading">
    <w:name w:val="Heading"/>
    <w:next w:val="Heading"/>
    <w:pPr>
      <w:keepNext w:val="0"/>
      <w:keepLines w:val="0"/>
      <w:pageBreakBefore w:val="0"/>
      <w:widowControl w:val="1"/>
      <w:shd w:val="clear" w:color="auto" w:fill="auto"/>
      <w:suppressAutoHyphens w:val="0"/>
      <w:bidi w:val="0"/>
      <w:spacing w:before="360" w:after="120" w:line="240" w:lineRule="auto"/>
      <w:ind w:left="0" w:right="0" w:firstLine="0"/>
      <w:jc w:val="left"/>
      <w:outlineLvl w:val="0"/>
    </w:pPr>
    <w:rPr>
      <w:rFonts w:ascii="Arial" w:cs="Arial Unicode MS" w:hAnsi="Arial" w:eastAsia="Arial Unicode MS"/>
      <w:b w:val="1"/>
      <w:bCs w:val="1"/>
      <w:i w:val="0"/>
      <w:iCs w:val="0"/>
      <w:caps w:val="0"/>
      <w:smallCaps w:val="0"/>
      <w:strike w:val="0"/>
      <w:dstrike w:val="0"/>
      <w:outline w:val="0"/>
      <w:color w:val="3c899e"/>
      <w:spacing w:val="0"/>
      <w:kern w:val="0"/>
      <w:position w:val="0"/>
      <w:sz w:val="48"/>
      <w:szCs w:val="48"/>
      <w:u w:val="none" w:color="444444"/>
      <w:shd w:val="nil" w:color="auto" w:fill="auto"/>
      <w:vertAlign w:val="baseline"/>
      <w:lang w:val="en-US"/>
      <w14:textOutline w14:w="12700" w14:cap="flat">
        <w14:noFill/>
        <w14:miter w14:lim="400000"/>
      </w14:textOutline>
      <w14:textFill>
        <w14:solidFill>
          <w14:srgbClr w14:val="3C8A9E"/>
        </w14:solidFill>
      </w14:textFill>
    </w:rPr>
  </w:style>
  <w:style w:type="paragraph" w:styleId="Caption">
    <w:name w:val="Caption"/>
    <w:next w:val="Caption"/>
    <w:pPr>
      <w:keepNext w:val="0"/>
      <w:keepLines w:val="0"/>
      <w:pageBreakBefore w:val="0"/>
      <w:widowControl w:val="1"/>
      <w:shd w:val="clear" w:color="auto" w:fill="auto"/>
      <w:tabs>
        <w:tab w:val="left" w:pos="1150"/>
      </w:tabs>
      <w:suppressAutoHyphens w:val="0"/>
      <w:bidi w:val="0"/>
      <w:spacing w:before="0" w:after="0" w:line="240" w:lineRule="auto"/>
      <w:ind w:left="0" w:right="0" w:firstLine="0"/>
      <w:jc w:val="left"/>
      <w:outlineLvl w:val="9"/>
    </w:pPr>
    <w:rPr>
      <w:rFonts w:ascii="Helvetica Neue" w:cs="Arial Unicode MS" w:hAnsi="Helvetica Neue" w:eastAsia="Arial Unicode MS"/>
      <w:b w:val="1"/>
      <w:bCs w:val="1"/>
      <w:i w:val="0"/>
      <w:iCs w:val="0"/>
      <w:caps w:val="1"/>
      <w:strike w:val="0"/>
      <w:dstrike w:val="0"/>
      <w:outline w:val="0"/>
      <w:color w:val="000000"/>
      <w:spacing w:val="0"/>
      <w:kern w:val="0"/>
      <w:position w:val="0"/>
      <w:sz w:val="20"/>
      <w:szCs w:val="20"/>
      <w:u w:val="none"/>
      <w:shd w:val="nil" w:color="auto" w:fill="auto"/>
      <w:vertAlign w:val="baseline"/>
      <w:lang w:val="de-DE"/>
      <w14:textOutline>
        <w14:noFill/>
      </w14:textOutline>
      <w14:textFill>
        <w14:solidFill>
          <w14:srgbClr w14:val="000000"/>
        </w14:solidFill>
      </w14:textFill>
    </w:rPr>
  </w:style>
  <w:style w:type="numbering" w:styleId="Imported Style 1">
    <w:name w:val="Imported Style 1"/>
    <w:pPr>
      <w:numPr>
        <w:numId w:val="1"/>
      </w:numPr>
    </w:p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paragraph" w:styleId="Heading 2">
    <w:name w:val="Heading 2"/>
    <w:next w:val="Heading 2"/>
    <w:pPr>
      <w:keepNext w:val="0"/>
      <w:keepLines w:val="0"/>
      <w:pageBreakBefore w:val="0"/>
      <w:widowControl w:val="1"/>
      <w:shd w:val="clear" w:color="auto" w:fill="auto"/>
      <w:suppressAutoHyphens w:val="0"/>
      <w:bidi w:val="0"/>
      <w:spacing w:before="240" w:after="80" w:line="240" w:lineRule="auto"/>
      <w:ind w:left="0" w:right="0" w:firstLine="0"/>
      <w:jc w:val="left"/>
      <w:outlineLvl w:val="1"/>
    </w:pPr>
    <w:rPr>
      <w:rFonts w:ascii="Arial" w:cs="Arial Unicode MS" w:hAnsi="Arial" w:eastAsia="Arial Unicode MS"/>
      <w:b w:val="1"/>
      <w:bCs w:val="1"/>
      <w:i w:val="0"/>
      <w:iCs w:val="0"/>
      <w:caps w:val="0"/>
      <w:smallCaps w:val="0"/>
      <w:strike w:val="0"/>
      <w:dstrike w:val="0"/>
      <w:outline w:val="0"/>
      <w:color w:val="444444"/>
      <w:spacing w:val="0"/>
      <w:kern w:val="0"/>
      <w:position w:val="0"/>
      <w:sz w:val="28"/>
      <w:szCs w:val="28"/>
      <w:u w:val="none" w:color="444444"/>
      <w:shd w:val="nil" w:color="auto" w:fill="auto"/>
      <w:vertAlign w:val="baseline"/>
      <w:lang w:val="da-DK"/>
      <w14:textOutline w14:w="12700" w14:cap="flat">
        <w14:noFill/>
        <w14:miter w14:lim="400000"/>
      </w14:textOutline>
      <w14:textFill>
        <w14:solidFill>
          <w14:srgbClr w14:val="444444"/>
        </w14:solidFill>
      </w14:textFill>
    </w:rPr>
  </w:style>
  <w:style w:type="paragraph" w:styleId="Heading 3">
    <w:name w:val="Heading 3"/>
    <w:next w:val="Heading 3"/>
    <w:pPr>
      <w:keepNext w:val="0"/>
      <w:keepLines w:val="0"/>
      <w:pageBreakBefore w:val="0"/>
      <w:widowControl w:val="1"/>
      <w:shd w:val="clear" w:color="auto" w:fill="auto"/>
      <w:suppressAutoHyphens w:val="0"/>
      <w:bidi w:val="0"/>
      <w:spacing w:before="180" w:after="60" w:line="240" w:lineRule="auto"/>
      <w:ind w:left="0" w:right="0" w:firstLine="0"/>
      <w:jc w:val="left"/>
      <w:outlineLvl w:val="2"/>
    </w:pPr>
    <w:rPr>
      <w:rFonts w:ascii="Arial" w:cs="Arial Unicode MS" w:hAnsi="Arial" w:eastAsia="Arial Unicode MS"/>
      <w:b w:val="1"/>
      <w:bCs w:val="1"/>
      <w:i w:val="0"/>
      <w:iCs w:val="0"/>
      <w:caps w:val="0"/>
      <w:smallCaps w:val="0"/>
      <w:strike w:val="0"/>
      <w:dstrike w:val="0"/>
      <w:outline w:val="0"/>
      <w:color w:val="4bacc6"/>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4BACC6"/>
        </w14:solidFill>
      </w14:textFill>
    </w:rPr>
  </w:style>
  <w:style w:type="paragraph" w:styleId="Object Caption">
    <w:name w:val="Object Caption"/>
    <w:next w:val="Object Caption"/>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Helvetica Neue Light" w:cs="Arial Unicode MS" w:hAnsi="Helvetica Neue Light"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Bullets">
    <w:name w:val="Bullets"/>
    <w:pPr>
      <w:numPr>
        <w:numId w:val="3"/>
      </w:numPr>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Numbered">
    <w:name w:val="Numbered"/>
    <w:pPr>
      <w:numPr>
        <w:numId w:val="7"/>
      </w:numPr>
    </w:pPr>
  </w:style>
  <w:style w:type="numbering" w:styleId="Bullet">
    <w:name w:val="Bullet"/>
    <w:pPr>
      <w:numPr>
        <w:numId w:val="14"/>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image" Target="media/image5.jpeg"/><Relationship Id="rId9" Type="http://schemas.openxmlformats.org/officeDocument/2006/relationships/image" Target="media/image6.jpeg"/><Relationship Id="rId10" Type="http://schemas.openxmlformats.org/officeDocument/2006/relationships/image" Target="media/image7.jpeg"/><Relationship Id="rId11" Type="http://schemas.openxmlformats.org/officeDocument/2006/relationships/image" Target="media/image8.jpeg"/><Relationship Id="rId12" Type="http://schemas.openxmlformats.org/officeDocument/2006/relationships/image" Target="media/image1.png"/><Relationship Id="rId13" Type="http://schemas.openxmlformats.org/officeDocument/2006/relationships/image" Target="media/image9.jpeg"/><Relationship Id="rId14" Type="http://schemas.openxmlformats.org/officeDocument/2006/relationships/image" Target="media/image10.jpeg"/><Relationship Id="rId15" Type="http://schemas.openxmlformats.org/officeDocument/2006/relationships/image" Target="media/image2.png"/><Relationship Id="rId16" Type="http://schemas.openxmlformats.org/officeDocument/2006/relationships/image" Target="media/image11.jpeg"/><Relationship Id="rId17" Type="http://schemas.openxmlformats.org/officeDocument/2006/relationships/image" Target="media/image12.jpeg"/><Relationship Id="rId18" Type="http://schemas.openxmlformats.org/officeDocument/2006/relationships/image" Target="media/image13.jpeg"/><Relationship Id="rId19" Type="http://schemas.openxmlformats.org/officeDocument/2006/relationships/image" Target="media/image3.png"/><Relationship Id="rId20" Type="http://schemas.openxmlformats.org/officeDocument/2006/relationships/image" Target="media/image4.png"/><Relationship Id="rId21" Type="http://schemas.openxmlformats.org/officeDocument/2006/relationships/image" Target="media/image14.jpeg"/><Relationship Id="rId22" Type="http://schemas.openxmlformats.org/officeDocument/2006/relationships/image" Target="media/image5.png"/><Relationship Id="rId23" Type="http://schemas.openxmlformats.org/officeDocument/2006/relationships/image" Target="media/image15.jpeg"/><Relationship Id="rId24" Type="http://schemas.openxmlformats.org/officeDocument/2006/relationships/image" Target="media/image16.jpeg"/><Relationship Id="rId25" Type="http://schemas.openxmlformats.org/officeDocument/2006/relationships/image" Target="media/image6.png"/><Relationship Id="rId26" Type="http://schemas.openxmlformats.org/officeDocument/2006/relationships/image" Target="media/image7.png"/><Relationship Id="rId27" Type="http://schemas.openxmlformats.org/officeDocument/2006/relationships/image" Target="media/image8.png"/><Relationship Id="rId28" Type="http://schemas.openxmlformats.org/officeDocument/2006/relationships/image" Target="media/image9.png"/><Relationship Id="rId29" Type="http://schemas.openxmlformats.org/officeDocument/2006/relationships/header" Target="header1.xml"/><Relationship Id="rId30" Type="http://schemas.openxmlformats.org/officeDocument/2006/relationships/footer" Target="footer1.xml"/><Relationship Id="rId31" Type="http://schemas.openxmlformats.org/officeDocument/2006/relationships/numbering" Target="numbering.xml"/><Relationship Id="rId32"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0.png"/><Relationship Id="rId2" Type="http://schemas.openxmlformats.org/officeDocument/2006/relationships/image" Target="media/image17.jpeg"/><Relationship Id="rId3" Type="http://schemas.openxmlformats.org/officeDocument/2006/relationships/image" Target="media/image11.png"/></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Arial"/>
        <a:ea typeface="Arial"/>
        <a:cs typeface="Arial"/>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